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bookmarkStart w:id="0" w:name="_GoBack"/>
            <w:bookmarkEnd w:id="0"/>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rsidR="00D47EBB" w:rsidRDefault="00D2540A" w:rsidP="000E1A81">
            <w:hyperlink r:id="rId9" w:history="1">
              <w:r>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 xml:space="preserve">Projekt rozporządzenia Ministra Zdrowia zmieniającego </w:t>
            </w:r>
            <w:r w:rsidRPr="00D47EBB">
              <w:rPr>
                <w:rFonts w:ascii="Times New Roman" w:hAnsi="Times New Roman" w:cs="Times New Roman"/>
                <w:b w:val="0"/>
                <w:color w:val="auto"/>
                <w:sz w:val="20"/>
                <w:szCs w:val="20"/>
                <w:shd w:val="clear" w:color="auto" w:fill="FFFFFF"/>
              </w:rPr>
              <w:lastRenderedPageBreak/>
              <w:t>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w:t>
            </w:r>
            <w:r w:rsidRPr="00C940C7">
              <w:rPr>
                <w:rFonts w:ascii="Times New Roman" w:eastAsia="Times New Roman" w:hAnsi="Times New Roman" w:cs="Times New Roman"/>
                <w:sz w:val="20"/>
                <w:szCs w:val="20"/>
                <w:lang w:eastAsia="pl-PL"/>
              </w:rPr>
              <w:lastRenderedPageBreak/>
              <w:t>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ogłoszenie</w:t>
            </w:r>
          </w:p>
        </w:tc>
        <w:tc>
          <w:tcPr>
            <w:tcW w:w="1174" w:type="pct"/>
          </w:tcPr>
          <w:p w:rsidR="00D47EBB" w:rsidRDefault="00D47EBB" w:rsidP="000E1A81">
            <w:hyperlink r:id="rId10" w:history="1">
              <w:r>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23 października 2021 r. </w:t>
            </w:r>
          </w:p>
        </w:tc>
        <w:tc>
          <w:tcPr>
            <w:tcW w:w="1174" w:type="pct"/>
          </w:tcPr>
          <w:p w:rsidR="002E5D30" w:rsidRDefault="00D47EBB" w:rsidP="000E1A81">
            <w:hyperlink r:id="rId11"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2E5D30" w:rsidRDefault="00D47EBB" w:rsidP="000E1A81">
            <w:hyperlink r:id="rId12"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Zarządzenie Ministra Zdrowia z dnia 21 października 2021 r. zmieniające zarządzenie w sprawie powołania Krajowej Rady </w:t>
            </w:r>
            <w:r w:rsidRPr="00695B48">
              <w:rPr>
                <w:rFonts w:ascii="Times New Roman" w:hAnsi="Times New Roman" w:cs="Times New Roman"/>
                <w:b w:val="0"/>
                <w:color w:val="auto"/>
                <w:sz w:val="20"/>
                <w:szCs w:val="20"/>
                <w:shd w:val="clear" w:color="auto" w:fill="FFFFFF"/>
              </w:rPr>
              <w:lastRenderedPageBreak/>
              <w:t>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Ministerstwie Zdrowia nadzorujący prace Departamentu Oceny </w:t>
            </w:r>
            <w:r w:rsidRPr="00695B48">
              <w:rPr>
                <w:rFonts w:ascii="Times New Roman" w:eastAsia="Times New Roman" w:hAnsi="Times New Roman" w:cs="Times New Roman"/>
                <w:sz w:val="20"/>
                <w:szCs w:val="20"/>
                <w:lang w:eastAsia="pl-PL"/>
              </w:rPr>
              <w:lastRenderedPageBreak/>
              <w:t>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Weście w życie 22 października 2021 r.</w:t>
            </w:r>
          </w:p>
        </w:tc>
        <w:tc>
          <w:tcPr>
            <w:tcW w:w="1174" w:type="pct"/>
          </w:tcPr>
          <w:p w:rsidR="00695B48" w:rsidRDefault="00D47EBB" w:rsidP="000E1A81">
            <w:hyperlink r:id="rId13"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D47EBB" w:rsidP="000E1A81">
            <w:hyperlink r:id="rId14"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Obwieszczenie Ministra Zdrowia z dnia 21 października 2021 r. w sprawie wykazu leków, środków spożywczych specjalnego </w:t>
            </w:r>
            <w:r w:rsidRPr="00AF2AE4">
              <w:rPr>
                <w:rFonts w:ascii="Times New Roman" w:hAnsi="Times New Roman" w:cs="Times New Roman"/>
                <w:b w:val="0"/>
                <w:color w:val="auto"/>
                <w:sz w:val="20"/>
                <w:szCs w:val="20"/>
                <w:shd w:val="clear" w:color="auto" w:fill="FFFFFF"/>
              </w:rPr>
              <w:lastRenderedPageBreak/>
              <w:t>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D47EBB" w:rsidP="000E1A81">
            <w:hyperlink r:id="rId15"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D47EBB" w:rsidP="000E1A81">
            <w:hyperlink r:id="rId16"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 xml:space="preserve">Rozporządzenie </w:t>
            </w:r>
            <w:r w:rsidR="00E23740">
              <w:rPr>
                <w:rFonts w:ascii="Times New Roman" w:hAnsi="Times New Roman" w:cs="Times New Roman"/>
                <w:sz w:val="20"/>
                <w:szCs w:val="20"/>
              </w:rPr>
              <w:t>Ministra Zdrowia</w:t>
            </w:r>
          </w:p>
        </w:tc>
        <w:tc>
          <w:tcPr>
            <w:tcW w:w="559" w:type="pct"/>
          </w:tcPr>
          <w:p w:rsidR="003D3CCC" w:rsidRPr="003D3CCC" w:rsidRDefault="00E23740" w:rsidP="00A945C1">
            <w:pPr>
              <w:pStyle w:val="Nagwek1"/>
              <w:outlineLvl w:val="0"/>
              <w:rPr>
                <w:rFonts w:ascii="Times New Roman" w:hAnsi="Times New Roman" w:cs="Times New Roman"/>
                <w:b w:val="0"/>
                <w:color w:val="auto"/>
                <w:sz w:val="20"/>
                <w:szCs w:val="20"/>
                <w:shd w:val="clear" w:color="auto" w:fill="FFFFFF"/>
              </w:rPr>
            </w:pPr>
            <w:r w:rsidRPr="00E23740">
              <w:rPr>
                <w:rFonts w:ascii="Times New Roman" w:hAnsi="Times New Roman" w:cs="Times New Roman"/>
                <w:b w:val="0"/>
                <w:color w:val="auto"/>
                <w:sz w:val="20"/>
                <w:szCs w:val="20"/>
                <w:shd w:val="clear" w:color="auto" w:fill="FFFFFF"/>
              </w:rPr>
              <w:t xml:space="preserve">Projekt rozporządzenia Ministra Zdrowia w sprawie trybu, sposobu i warunków wykonywania zadań przez Państwową Inspekcję Sanitarną na terenie obiektów Agencji Bezpieczeństwa Wewnętrznego, Agencji Wywiadu i Centralnego Biura Antykorupcyjnego oraz w stosunku do </w:t>
            </w:r>
            <w:r w:rsidRPr="00E23740">
              <w:rPr>
                <w:rFonts w:ascii="Times New Roman" w:hAnsi="Times New Roman" w:cs="Times New Roman"/>
                <w:b w:val="0"/>
                <w:color w:val="auto"/>
                <w:sz w:val="20"/>
                <w:szCs w:val="20"/>
                <w:shd w:val="clear" w:color="auto" w:fill="FFFFFF"/>
              </w:rPr>
              <w:lastRenderedPageBreak/>
              <w:t>funkcjonariuszy Agencji Bezpieczeństwa Wewnętrznego, Agencji Wywiadu i Centralnego Biura Antykorupcyjnego</w:t>
            </w:r>
          </w:p>
        </w:tc>
        <w:tc>
          <w:tcPr>
            <w:tcW w:w="2115" w:type="pct"/>
          </w:tcPr>
          <w:p w:rsidR="003D3CCC" w:rsidRDefault="00E23740" w:rsidP="003D3CCC">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w:t>
            </w:r>
            <w:r w:rsidRPr="00E23740">
              <w:rPr>
                <w:rFonts w:ascii="Times New Roman" w:eastAsia="Times New Roman" w:hAnsi="Times New Roman" w:cs="Times New Roman"/>
                <w:sz w:val="20"/>
                <w:szCs w:val="20"/>
                <w:lang w:eastAsia="pl-PL"/>
              </w:rPr>
              <w:lastRenderedPageBreak/>
              <w:t xml:space="preserve">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E23740" w:rsidRPr="003D3CCC"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3D3CCC" w:rsidRDefault="00E2374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D3CCC" w:rsidRDefault="00D47EBB" w:rsidP="000E1A81">
            <w:hyperlink r:id="rId17" w:history="1">
              <w:r w:rsidR="00E23740">
                <w:rPr>
                  <w:rStyle w:val="Hipercze"/>
                </w:rPr>
                <w:t>Akt prawny (legislacja.gov.pl)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 xml:space="preserve">Projekt rozporządzenia Ministra Zdrowia w sprawie informacji zawartych w </w:t>
            </w:r>
            <w:r w:rsidRPr="003D3CCC">
              <w:rPr>
                <w:rFonts w:ascii="Times New Roman" w:hAnsi="Times New Roman" w:cs="Times New Roman"/>
                <w:b w:val="0"/>
                <w:color w:val="auto"/>
                <w:sz w:val="20"/>
                <w:szCs w:val="20"/>
                <w:shd w:val="clear" w:color="auto" w:fill="FFFFFF"/>
              </w:rPr>
              <w:lastRenderedPageBreak/>
              <w:t>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lastRenderedPageBreak/>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Projektowane rozporządzenie zastąpi akt wykonawczy obowiązujący obecnie w powyższym zakresie, tj. rozporządzenie Ministra Zdrowia z </w:t>
            </w:r>
            <w:r w:rsidRPr="003D3CCC">
              <w:rPr>
                <w:rFonts w:ascii="Times New Roman" w:eastAsia="Times New Roman" w:hAnsi="Times New Roman" w:cs="Times New Roman"/>
                <w:sz w:val="20"/>
                <w:szCs w:val="20"/>
                <w:lang w:eastAsia="pl-PL"/>
              </w:rPr>
              <w:lastRenderedPageBreak/>
              <w:t>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Skierowanie aktu do ogłoszenia </w:t>
            </w:r>
          </w:p>
        </w:tc>
        <w:tc>
          <w:tcPr>
            <w:tcW w:w="1174" w:type="pct"/>
          </w:tcPr>
          <w:p w:rsidR="003D3CCC" w:rsidRDefault="00D47EBB" w:rsidP="000E1A81">
            <w:hyperlink r:id="rId18"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D47EBB" w:rsidP="000E1A81">
            <w:hyperlink r:id="rId19"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 xml:space="preserve">ZARZĄDZENIE Nr </w:t>
            </w:r>
            <w:r w:rsidRPr="00A945C1">
              <w:rPr>
                <w:rFonts w:ascii="Times New Roman" w:hAnsi="Times New Roman" w:cs="Times New Roman"/>
                <w:b w:val="0"/>
                <w:color w:val="auto"/>
                <w:sz w:val="20"/>
                <w:szCs w:val="20"/>
                <w:shd w:val="clear" w:color="auto" w:fill="FFFFFF"/>
              </w:rPr>
              <w:lastRenderedPageBreak/>
              <w:t>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w:t>
            </w:r>
            <w:r w:rsidRPr="00A945C1">
              <w:rPr>
                <w:rFonts w:ascii="Times New Roman" w:eastAsia="Times New Roman" w:hAnsi="Times New Roman" w:cs="Times New Roman"/>
                <w:sz w:val="20"/>
                <w:szCs w:val="20"/>
                <w:lang w:eastAsia="pl-PL"/>
              </w:rPr>
              <w:lastRenderedPageBreak/>
              <w:t xml:space="preserve">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A945C1" w:rsidRDefault="00D47EBB" w:rsidP="000E1A81">
            <w:hyperlink r:id="rId20" w:history="1">
              <w:r w:rsidR="00A945C1">
                <w:rPr>
                  <w:rStyle w:val="Hipercze"/>
                </w:rPr>
                <w:t xml:space="preserve">Zarządzenia Prezesa NFZ / Zarządzenia Prezesa / Narodowy Fundusz Zdrowia (NFZ) – </w:t>
              </w:r>
              <w:r w:rsidR="00A945C1">
                <w:rPr>
                  <w:rStyle w:val="Hipercze"/>
                </w:rPr>
                <w:lastRenderedPageBreak/>
                <w:t>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Rozporządzenie Ministra Zdrowia z dnia 14 października 2021 r. w sprawie minimalnych wymagań dla jednostek ochrony zdrowia prowadzących działalność związaną z narażeniem w celach medycznych, polegającą na udzielaniu </w:t>
            </w:r>
            <w:r w:rsidRPr="00C940C7">
              <w:rPr>
                <w:rFonts w:ascii="Times New Roman" w:hAnsi="Times New Roman" w:cs="Times New Roman"/>
                <w:b w:val="0"/>
                <w:color w:val="auto"/>
                <w:sz w:val="20"/>
                <w:szCs w:val="20"/>
                <w:shd w:val="clear" w:color="auto" w:fill="FFFFFF"/>
              </w:rPr>
              <w:lastRenderedPageBreak/>
              <w:t>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w:t>
            </w:r>
            <w:r w:rsidRPr="003501CB">
              <w:rPr>
                <w:rFonts w:ascii="Times New Roman" w:eastAsia="Times New Roman" w:hAnsi="Times New Roman" w:cs="Times New Roman"/>
                <w:sz w:val="20"/>
                <w:szCs w:val="20"/>
                <w:lang w:eastAsia="pl-PL"/>
              </w:rPr>
              <w:lastRenderedPageBreak/>
              <w:t xml:space="preserve">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D47EBB" w:rsidP="000E1A81">
            <w:hyperlink r:id="rId21"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Zdrowia zmieniającego rozporządzenie w sprawie świadczeń gwarantowanych z zakresu ambulatoryjnej </w:t>
            </w:r>
            <w:r w:rsidRPr="00C940C7">
              <w:rPr>
                <w:rFonts w:ascii="Times New Roman" w:hAnsi="Times New Roman" w:cs="Times New Roman"/>
                <w:b w:val="0"/>
                <w:color w:val="auto"/>
                <w:sz w:val="20"/>
                <w:szCs w:val="20"/>
                <w:shd w:val="clear" w:color="auto" w:fill="FFFFFF"/>
              </w:rPr>
              <w:lastRenderedPageBreak/>
              <w:t>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w:t>
            </w:r>
            <w:r w:rsidRPr="00C940C7">
              <w:rPr>
                <w:rFonts w:ascii="Times New Roman" w:eastAsia="Times New Roman" w:hAnsi="Times New Roman" w:cs="Times New Roman"/>
                <w:sz w:val="20"/>
                <w:szCs w:val="20"/>
                <w:lang w:eastAsia="pl-PL"/>
              </w:rPr>
              <w:lastRenderedPageBreak/>
              <w:t xml:space="preserve">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w:t>
            </w:r>
            <w:r w:rsidRPr="00C940C7">
              <w:rPr>
                <w:rFonts w:ascii="Times New Roman" w:eastAsia="Times New Roman" w:hAnsi="Times New Roman" w:cs="Times New Roman"/>
                <w:sz w:val="20"/>
                <w:szCs w:val="20"/>
                <w:lang w:eastAsia="pl-PL"/>
              </w:rPr>
              <w:lastRenderedPageBreak/>
              <w:t xml:space="preserve">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22" w:history="1">
              <w:r w:rsidRPr="00291C16">
                <w:rPr>
                  <w:rStyle w:val="Hipercze"/>
                </w:rPr>
                <w:t>uwagi.swiadczenia.gwarantowane@mz.gov.pl</w:t>
              </w:r>
            </w:hyperlink>
            <w:r>
              <w:t xml:space="preserve">) </w:t>
            </w:r>
          </w:p>
        </w:tc>
        <w:tc>
          <w:tcPr>
            <w:tcW w:w="1174" w:type="pct"/>
          </w:tcPr>
          <w:p w:rsidR="00C940C7" w:rsidRPr="00C940C7" w:rsidRDefault="00D47EBB" w:rsidP="000E1A81">
            <w:pPr>
              <w:rPr>
                <w:b/>
              </w:rPr>
            </w:pPr>
            <w:hyperlink r:id="rId23"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w:t>
            </w:r>
            <w:r w:rsidRPr="00C940C7">
              <w:rPr>
                <w:rFonts w:ascii="Times New Roman" w:eastAsia="Times New Roman" w:hAnsi="Times New Roman" w:cs="Times New Roman"/>
                <w:sz w:val="20"/>
                <w:szCs w:val="20"/>
                <w:lang w:eastAsia="pl-PL"/>
              </w:rPr>
              <w:lastRenderedPageBreak/>
              <w:t xml:space="preserve">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opis postępowania odnoszącego się do stosowanych w jednostce urządzeń radiologicznych i urządzeń pomocniczych (rodzajów urządzeń w przypadku procedur wzorcowych), a także kategorii osób </w:t>
            </w:r>
            <w:r w:rsidRPr="00C940C7">
              <w:rPr>
                <w:rFonts w:ascii="Times New Roman" w:eastAsia="Times New Roman" w:hAnsi="Times New Roman" w:cs="Times New Roman"/>
                <w:sz w:val="20"/>
                <w:szCs w:val="20"/>
                <w:lang w:eastAsia="pl-PL"/>
              </w:rPr>
              <w:lastRenderedPageBreak/>
              <w:t>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D47EBB" w:rsidP="000E1A81">
            <w:hyperlink r:id="rId24"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w:t>
            </w:r>
            <w:r w:rsidRPr="00F84BD4">
              <w:rPr>
                <w:rFonts w:ascii="Times New Roman" w:eastAsia="Times New Roman" w:hAnsi="Times New Roman" w:cs="Times New Roman"/>
                <w:sz w:val="20"/>
                <w:szCs w:val="20"/>
                <w:lang w:eastAsia="pl-PL"/>
              </w:rPr>
              <w:lastRenderedPageBreak/>
              <w:t>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D47EBB" w:rsidP="000E1A81">
            <w:hyperlink r:id="rId25" w:history="1">
              <w:r w:rsidR="00F84BD4">
                <w:rPr>
                  <w:rStyle w:val="Hipercze"/>
                </w:rPr>
                <w:t>Zarządzenia Prezesa NFZ / Zarządzenia Prezesa / Narodowy Fundusz Zdrowia (NFZ) – finansujemy zdrowie Polaków</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86ECB" w:rsidRPr="0054537B" w:rsidRDefault="00486ECB" w:rsidP="00CA171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Projektu ustawy o zmianie </w:t>
            </w:r>
            <w:r w:rsidRPr="008F337B">
              <w:rPr>
                <w:rFonts w:ascii="Times New Roman" w:hAnsi="Times New Roman" w:cs="Times New Roman"/>
                <w:b w:val="0"/>
                <w:color w:val="auto"/>
                <w:sz w:val="20"/>
                <w:szCs w:val="20"/>
                <w:shd w:val="clear" w:color="auto" w:fill="FFFFFF"/>
              </w:rPr>
              <w:t>ustawy o świadczeniach opieki zdrowotnej finansowanych ze środków publicznych oraz niektórych inny</w:t>
            </w:r>
            <w:r>
              <w:rPr>
                <w:rFonts w:ascii="Times New Roman" w:hAnsi="Times New Roman" w:cs="Times New Roman"/>
                <w:b w:val="0"/>
                <w:color w:val="auto"/>
                <w:sz w:val="20"/>
                <w:szCs w:val="20"/>
                <w:shd w:val="clear" w:color="auto" w:fill="FFFFFF"/>
              </w:rPr>
              <w:t>ch ustaw (druki nr 1568 i 1618)</w:t>
            </w:r>
          </w:p>
        </w:tc>
        <w:tc>
          <w:tcPr>
            <w:tcW w:w="2115" w:type="pct"/>
          </w:tcPr>
          <w:p w:rsidR="00486ECB" w:rsidRDefault="00486ECB" w:rsidP="00486EC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486ECB" w:rsidRDefault="00486ECB" w:rsidP="00486ECB">
            <w:pPr>
              <w:tabs>
                <w:tab w:val="left" w:pos="97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w:t>
            </w:r>
            <w:r w:rsidRPr="00B94A88">
              <w:rPr>
                <w:rFonts w:ascii="Times New Roman" w:eastAsia="Times New Roman" w:hAnsi="Times New Roman" w:cs="Times New Roman"/>
                <w:sz w:val="20"/>
                <w:szCs w:val="20"/>
                <w:lang w:eastAsia="pl-PL"/>
              </w:rPr>
              <w:lastRenderedPageBreak/>
              <w:t>zostały w tej ustawie uwzględnione ww. przepisy o koordynacji.</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486EC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486ECB" w:rsidRDefault="00486ECB" w:rsidP="00486ECB">
            <w:pPr>
              <w:rPr>
                <w:rFonts w:ascii="Times New Roman" w:eastAsia="Times New Roman" w:hAnsi="Times New Roman" w:cs="Times New Roman"/>
                <w:sz w:val="20"/>
                <w:szCs w:val="20"/>
                <w:lang w:eastAsia="pl-PL"/>
              </w:rPr>
            </w:pP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doprecyzowanie art. 136 ust. 2 pkt 3 oraz art. 139a, przez określenie zdarzenia rozpoczynającego bieg wskazanego we tych </w:t>
            </w:r>
            <w:r w:rsidRPr="00B94A88">
              <w:rPr>
                <w:rFonts w:ascii="Times New Roman" w:eastAsia="Times New Roman" w:hAnsi="Times New Roman" w:cs="Times New Roman"/>
                <w:sz w:val="20"/>
                <w:szCs w:val="20"/>
                <w:lang w:eastAsia="pl-PL"/>
              </w:rPr>
              <w:lastRenderedPageBreak/>
              <w:t>przepisach 5-letniego terminu, w przypadku gdy dla inwestycji nie wydaje się pozwolenia na użytkowanie, a dodatkowo wprowadza się korektę w brzmieniu art. 139a zdanie pierwsze.</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486ECB" w:rsidRPr="0054537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Senacka Komisja Zdrowa 20 października 2021 r.</w:t>
            </w:r>
          </w:p>
          <w:p w:rsidR="00265235" w:rsidRDefault="00265235" w:rsidP="00777A1E">
            <w:pPr>
              <w:jc w:val="center"/>
              <w:rPr>
                <w:rFonts w:ascii="Times New Roman" w:hAnsi="Times New Roman" w:cs="Times New Roman"/>
                <w:sz w:val="20"/>
                <w:szCs w:val="20"/>
              </w:rPr>
            </w:pPr>
            <w:r w:rsidRPr="00265235">
              <w:rPr>
                <w:rFonts w:ascii="Times New Roman" w:hAnsi="Times New Roman" w:cs="Times New Roman"/>
                <w:i/>
                <w:iCs/>
                <w:sz w:val="20"/>
                <w:szCs w:val="20"/>
              </w:rPr>
              <w:t>Komisja wnosi o wprowadzenie poprawek do ustawy</w:t>
            </w:r>
            <w:r w:rsidRPr="00265235">
              <w:rPr>
                <w:rFonts w:ascii="Times New Roman" w:hAnsi="Times New Roman" w:cs="Times New Roman"/>
                <w:sz w:val="20"/>
                <w:szCs w:val="20"/>
              </w:rPr>
              <w:t> (druk senacki nr 531 A).</w:t>
            </w:r>
          </w:p>
          <w:p w:rsidR="00486ECB" w:rsidRDefault="00486ECB" w:rsidP="00777A1E">
            <w:pPr>
              <w:jc w:val="center"/>
              <w:rPr>
                <w:rFonts w:ascii="Times New Roman" w:hAnsi="Times New Roman" w:cs="Times New Roman"/>
                <w:sz w:val="20"/>
                <w:szCs w:val="20"/>
              </w:rPr>
            </w:pPr>
          </w:p>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t>Posiedzenie Senatu (27,28 i 29 października 2021 r.)</w:t>
            </w:r>
          </w:p>
        </w:tc>
        <w:tc>
          <w:tcPr>
            <w:tcW w:w="1174" w:type="pct"/>
          </w:tcPr>
          <w:p w:rsidR="00486ECB" w:rsidRDefault="00D47EBB" w:rsidP="000E1A81">
            <w:hyperlink r:id="rId26" w:history="1">
              <w:r w:rsidR="00486ECB">
                <w:rPr>
                  <w:rStyle w:val="Hipercze"/>
                </w:rPr>
                <w:t>1568.pdf</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ustawy o zmianie ustawy o zdrowiu publicznym oraz niektórych innych ustaw</w:t>
            </w:r>
            <w:r>
              <w:rPr>
                <w:rFonts w:ascii="Times New Roman" w:hAnsi="Times New Roman" w:cs="Times New Roman"/>
                <w:b w:val="0"/>
                <w:color w:val="auto"/>
                <w:sz w:val="20"/>
                <w:szCs w:val="20"/>
                <w:shd w:val="clear" w:color="auto" w:fill="FFFFFF"/>
              </w:rPr>
              <w:t xml:space="preserve"> (druk 1631)</w:t>
            </w:r>
          </w:p>
        </w:tc>
        <w:tc>
          <w:tcPr>
            <w:tcW w:w="2115" w:type="pct"/>
          </w:tcPr>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4D7464"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w:t>
            </w:r>
            <w:r w:rsidRPr="0054537B">
              <w:rPr>
                <w:rFonts w:ascii="Times New Roman" w:eastAsia="Times New Roman" w:hAnsi="Times New Roman" w:cs="Times New Roman"/>
                <w:sz w:val="20"/>
                <w:szCs w:val="20"/>
                <w:lang w:eastAsia="pl-PL"/>
              </w:rPr>
              <w:lastRenderedPageBreak/>
              <w:t>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Proponuje się również zmiany w zakresie ustanawiania wojewódzkich i gminnych programów w obszarze profilaktyki uzależnień. Istotnym źródłem polityki scalenia działań w zakresie profilaktyki i rozwiązywania problemów związanych z uzależnieniami w jednej </w:t>
            </w:r>
            <w:r w:rsidRPr="0054537B">
              <w:rPr>
                <w:rFonts w:ascii="Times New Roman" w:eastAsia="Times New Roman" w:hAnsi="Times New Roman" w:cs="Times New Roman"/>
                <w:sz w:val="20"/>
                <w:szCs w:val="20"/>
                <w:lang w:eastAsia="pl-PL"/>
              </w:rPr>
              <w:lastRenderedPageBreak/>
              <w:t>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F011BC" w:rsidRPr="00F011BC" w:rsidRDefault="004D7464" w:rsidP="004D7464">
            <w:r w:rsidRPr="0054537B">
              <w:rPr>
                <w:sz w:val="20"/>
                <w:szCs w:val="20"/>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F011BC" w:rsidRDefault="004D746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Pierwsze czytanie projektu na posiedzeniu Sejmu (28 i 29 października 2021 r.)</w:t>
            </w:r>
          </w:p>
        </w:tc>
        <w:tc>
          <w:tcPr>
            <w:tcW w:w="1174" w:type="pct"/>
          </w:tcPr>
          <w:p w:rsidR="00F011BC" w:rsidRDefault="00D47EBB" w:rsidP="000E1A81">
            <w:hyperlink r:id="rId27" w:history="1">
              <w:r w:rsidR="004D7464">
                <w:rPr>
                  <w:rStyle w:val="Hipercze"/>
                </w:rPr>
                <w:t>1631.pdf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D47EBB" w:rsidP="000E1A81">
            <w:hyperlink r:id="rId28"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D47EBB" w:rsidP="000E1A81">
            <w:hyperlink r:id="rId29"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w:t>
            </w:r>
            <w:r w:rsidRPr="00F011BC">
              <w:rPr>
                <w:rFonts w:ascii="Times New Roman" w:hAnsi="Times New Roman" w:cs="Times New Roman"/>
                <w:b w:val="0"/>
                <w:color w:val="auto"/>
                <w:sz w:val="20"/>
                <w:szCs w:val="20"/>
                <w:shd w:val="clear" w:color="auto" w:fill="FFFFFF"/>
              </w:rPr>
              <w:lastRenderedPageBreak/>
              <w:t>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 xml:space="preserve">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t>
            </w:r>
            <w:r>
              <w:lastRenderedPageBreak/>
              <w:t>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2021 r.</w:t>
            </w:r>
          </w:p>
        </w:tc>
        <w:tc>
          <w:tcPr>
            <w:tcW w:w="1174" w:type="pct"/>
          </w:tcPr>
          <w:p w:rsidR="00F011BC" w:rsidRDefault="00D47EBB" w:rsidP="000E1A81">
            <w:hyperlink r:id="rId30" w:history="1">
              <w:r w:rsidR="00F011BC">
                <w:rPr>
                  <w:rStyle w:val="Hipercze"/>
                </w:rPr>
                <w:t xml:space="preserve">OBWIESZCZENIE MINISTRA ZDROWIA z dnia 27 września 2021 r. w sprawie ogłoszenia jednolitego tekstu rozporządzenia Ministra Zdrowia w sprawie wzoru formularza powiadomienia </w:t>
              </w:r>
              <w:r w:rsidR="00F011BC">
                <w:rPr>
                  <w:rStyle w:val="Hipercze"/>
                </w:rPr>
                <w:lastRenderedPageBreak/>
                <w:t>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w:t>
            </w:r>
            <w:r w:rsidRPr="003501CB">
              <w:rPr>
                <w:rFonts w:ascii="Times New Roman" w:hAnsi="Times New Roman" w:cs="Times New Roman"/>
                <w:b w:val="0"/>
                <w:color w:val="auto"/>
                <w:sz w:val="20"/>
                <w:szCs w:val="20"/>
                <w:shd w:val="clear" w:color="auto" w:fill="FFFFFF"/>
              </w:rPr>
              <w:lastRenderedPageBreak/>
              <w:t>przeprowadzenia postępowania przygotowawczego mającego na celu dokonanie oceny potrzeby i warunków reorganizacji Instytutu 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D47EBB" w:rsidP="000E1A81">
            <w:hyperlink r:id="rId31"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Umożliwienie lekarzom posiadającym tytuł specjalisty w dziedzinie pediatrii odbywania szkolenia specjalizacyjnego w dziedzinie psychiatrii dzieci i młodzieży na podstawie skróconego programu </w:t>
            </w:r>
            <w:r w:rsidRPr="003501CB">
              <w:rPr>
                <w:rFonts w:ascii="Times New Roman" w:eastAsia="Times New Roman" w:hAnsi="Times New Roman" w:cs="Times New Roman"/>
                <w:sz w:val="20"/>
                <w:szCs w:val="20"/>
                <w:lang w:eastAsia="pl-PL"/>
              </w:rPr>
              <w:lastRenderedPageBreak/>
              <w:t>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8 listopada 2021 r. (</w:t>
            </w:r>
            <w:hyperlink r:id="rId32" w:history="1">
              <w:r w:rsidRPr="00697103">
                <w:rPr>
                  <w:rStyle w:val="Hipercze"/>
                </w:rPr>
                <w:t>ldep-rkm@mz.gov.pl</w:t>
              </w:r>
            </w:hyperlink>
            <w:r>
              <w:t xml:space="preserve">) </w:t>
            </w:r>
          </w:p>
        </w:tc>
        <w:tc>
          <w:tcPr>
            <w:tcW w:w="1174" w:type="pct"/>
          </w:tcPr>
          <w:p w:rsidR="003501CB" w:rsidRDefault="00D47EBB" w:rsidP="000E1A81">
            <w:hyperlink r:id="rId33"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D47EBB" w:rsidP="000E1A81">
            <w:hyperlink r:id="rId34"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D47EBB" w:rsidP="000E1A81">
            <w:hyperlink r:id="rId35"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w:t>
            </w:r>
            <w:r>
              <w:rPr>
                <w:rFonts w:ascii="Times New Roman" w:hAnsi="Times New Roman" w:cs="Times New Roman"/>
                <w:b w:val="0"/>
                <w:color w:val="auto"/>
                <w:sz w:val="20"/>
                <w:szCs w:val="20"/>
                <w:shd w:val="clear" w:color="auto" w:fill="FFFFFF"/>
              </w:rPr>
              <w:lastRenderedPageBreak/>
              <w:t xml:space="preserve">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w:t>
            </w:r>
            <w:r w:rsidRPr="00144947">
              <w:rPr>
                <w:rFonts w:ascii="Times New Roman" w:eastAsia="Times New Roman" w:hAnsi="Times New Roman" w:cs="Times New Roman"/>
                <w:sz w:val="20"/>
                <w:szCs w:val="20"/>
                <w:lang w:eastAsia="pl-PL"/>
              </w:rPr>
              <w:lastRenderedPageBreak/>
              <w:t>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 xml:space="preserve">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w:t>
            </w:r>
            <w:r w:rsidRPr="00144947">
              <w:rPr>
                <w:rFonts w:ascii="Times New Roman" w:eastAsia="Times New Roman" w:hAnsi="Times New Roman" w:cs="Times New Roman"/>
                <w:sz w:val="20"/>
                <w:szCs w:val="20"/>
                <w:lang w:eastAsia="pl-PL"/>
              </w:rPr>
              <w:lastRenderedPageBreak/>
              <w:t>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 xml:space="preserve">z wyjątkiem § 1 pkt 9, który </w:t>
            </w:r>
            <w:r w:rsidRPr="00CA1712">
              <w:rPr>
                <w:rFonts w:ascii="Times New Roman" w:hAnsi="Times New Roman" w:cs="Times New Roman"/>
                <w:sz w:val="20"/>
                <w:szCs w:val="20"/>
              </w:rPr>
              <w:lastRenderedPageBreak/>
              <w:t>wchodzi w życie z dniem 1 listopada 2021 r.</w:t>
            </w:r>
          </w:p>
        </w:tc>
        <w:tc>
          <w:tcPr>
            <w:tcW w:w="1174" w:type="pct"/>
          </w:tcPr>
          <w:p w:rsidR="00CA1712" w:rsidRDefault="00D47EBB" w:rsidP="000E1A81">
            <w:hyperlink r:id="rId36"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w:t>
            </w:r>
            <w:r w:rsidRPr="00CA1712">
              <w:rPr>
                <w:rFonts w:ascii="Times New Roman" w:hAnsi="Times New Roman" w:cs="Times New Roman"/>
                <w:b w:val="0"/>
                <w:color w:val="auto"/>
                <w:sz w:val="20"/>
                <w:szCs w:val="20"/>
                <w:shd w:val="clear" w:color="auto" w:fill="FFFFFF"/>
              </w:rPr>
              <w:lastRenderedPageBreak/>
              <w:t>ustalania oraz zmiany numeru rachunku bankowego świadczeniodawców, podmiotów 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Zmiana zarządzenia stanowi realizację celu strategicznego NFZ nr 6: </w:t>
            </w:r>
            <w:r w:rsidRPr="00CA1712">
              <w:rPr>
                <w:rFonts w:ascii="Times New Roman" w:eastAsia="Times New Roman" w:hAnsi="Times New Roman" w:cs="Times New Roman"/>
                <w:sz w:val="20"/>
                <w:szCs w:val="20"/>
                <w:lang w:eastAsia="pl-PL"/>
              </w:rPr>
              <w:lastRenderedPageBreak/>
              <w:t>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października 2021 r.</w:t>
            </w:r>
          </w:p>
        </w:tc>
        <w:tc>
          <w:tcPr>
            <w:tcW w:w="1174" w:type="pct"/>
          </w:tcPr>
          <w:p w:rsidR="00CA1712" w:rsidRDefault="00D47EBB" w:rsidP="000E1A81">
            <w:hyperlink r:id="rId37"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realizacji umów o udzielanie świadczeń opieki zdrowotnej w rodzaju leczenie szpitalne w zakresie: świadczenia w szpitalnym oddziale ratunkowym </w:t>
            </w:r>
            <w:r w:rsidRPr="00CA1712">
              <w:rPr>
                <w:rFonts w:ascii="Times New Roman" w:hAnsi="Times New Roman" w:cs="Times New Roman"/>
                <w:b w:val="0"/>
                <w:color w:val="auto"/>
                <w:sz w:val="20"/>
                <w:szCs w:val="20"/>
                <w:shd w:val="clear" w:color="auto" w:fill="FFFFFF"/>
              </w:rPr>
              <w:lastRenderedPageBreak/>
              <w:t>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D47EBB" w:rsidP="000E1A81">
            <w:hyperlink r:id="rId38"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Projekt rozporządzenia Ministra Zdrowia 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21 października 2021 r. (</w:t>
            </w:r>
            <w:hyperlink r:id="rId39" w:history="1">
              <w:r w:rsidRPr="009D48A4">
                <w:rPr>
                  <w:rStyle w:val="Hipercze"/>
                </w:rPr>
                <w:t>dep-zp@mz.gov.pl</w:t>
              </w:r>
            </w:hyperlink>
            <w:r>
              <w:t xml:space="preserve">) </w:t>
            </w:r>
          </w:p>
        </w:tc>
        <w:tc>
          <w:tcPr>
            <w:tcW w:w="1174" w:type="pct"/>
          </w:tcPr>
          <w:p w:rsidR="005756DA" w:rsidRDefault="00D47EBB" w:rsidP="000E1A81">
            <w:hyperlink r:id="rId40"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W projekcie przewiduje się, że powyższe wymagania należy spełnić w określonych terminach do dnia 1 stycznia 2021 r., a w przypadku pkt 6 do dnia 1 stycznia 2022 r. Z uwagi na obecną sytuację epidemii </w:t>
            </w:r>
            <w:r w:rsidRPr="00777A1E">
              <w:rPr>
                <w:rFonts w:ascii="Times New Roman" w:eastAsia="Times New Roman" w:hAnsi="Times New Roman" w:cs="Times New Roman"/>
                <w:sz w:val="20"/>
                <w:szCs w:val="20"/>
                <w:lang w:eastAsia="pl-PL"/>
              </w:rPr>
              <w:lastRenderedPageBreak/>
              <w:t>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D47EBB" w:rsidP="000E1A81">
            <w:hyperlink r:id="rId41"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w:t>
            </w:r>
            <w:r w:rsidRPr="00D73C1A">
              <w:rPr>
                <w:rFonts w:ascii="Times New Roman" w:hAnsi="Times New Roman" w:cs="Times New Roman"/>
                <w:b w:val="0"/>
                <w:color w:val="auto"/>
                <w:sz w:val="20"/>
                <w:szCs w:val="20"/>
                <w:shd w:val="clear" w:color="auto" w:fill="FFFFFF"/>
              </w:rPr>
              <w:lastRenderedPageBreak/>
              <w:t>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 xml:space="preserve">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w:t>
            </w:r>
            <w:r w:rsidRPr="00020328">
              <w:rPr>
                <w:rFonts w:ascii="Times New Roman" w:eastAsia="Times New Roman" w:hAnsi="Times New Roman" w:cs="Times New Roman"/>
                <w:sz w:val="20"/>
                <w:szCs w:val="20"/>
                <w:lang w:eastAsia="pl-PL"/>
              </w:rPr>
              <w:lastRenderedPageBreak/>
              <w:t>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D47EBB" w:rsidP="000E1A81">
            <w:hyperlink r:id="rId42" w:history="1">
              <w:r w:rsidR="00D73C1A">
                <w:rPr>
                  <w:rStyle w:val="Hipercze"/>
                </w:rPr>
                <w:t xml:space="preserve">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w:t>
              </w:r>
              <w:r w:rsidR="00D73C1A">
                <w:rPr>
                  <w:rStyle w:val="Hipercze"/>
                </w:rPr>
                <w:lastRenderedPageBreak/>
                <w:t>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lastRenderedPageBreak/>
              <w:t xml:space="preserve">Projekt </w:t>
            </w:r>
            <w:r w:rsidRPr="00D73C1A">
              <w:rPr>
                <w:rFonts w:ascii="Times New Roman" w:hAnsi="Times New Roman" w:cs="Times New Roman"/>
                <w:b w:val="0"/>
                <w:color w:val="auto"/>
                <w:sz w:val="20"/>
                <w:szCs w:val="20"/>
                <w:shd w:val="clear" w:color="auto" w:fill="FFFFFF"/>
              </w:rPr>
              <w:lastRenderedPageBreak/>
              <w:t>rozporządzenia Ministra Zdrowia zmieniającego rozporządzenie w sprawie świadczeń gwarantowanych z zakresu opieki 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 xml:space="preserve">Potrzeba wprowadzenia zmian w rozporządzeniu Ministra Zdrowia z dnia 19 czerwca 2019 r. w sprawie świadczeń gwarantowanych z zakresu opieki psychiatrycznej i leczenia uzależnień (Dz. U. poz. 1285, </w:t>
            </w:r>
            <w:r w:rsidRPr="00D73C1A">
              <w:rPr>
                <w:rFonts w:ascii="Times New Roman" w:eastAsia="Times New Roman" w:hAnsi="Times New Roman" w:cs="Times New Roman"/>
                <w:sz w:val="20"/>
                <w:szCs w:val="20"/>
                <w:lang w:eastAsia="pl-PL"/>
              </w:rPr>
              <w:lastRenderedPageBreak/>
              <w:t>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26 </w:t>
            </w:r>
            <w:r>
              <w:rPr>
                <w:rFonts w:ascii="Times New Roman" w:hAnsi="Times New Roman" w:cs="Times New Roman"/>
                <w:sz w:val="20"/>
                <w:szCs w:val="20"/>
              </w:rPr>
              <w:lastRenderedPageBreak/>
              <w:t>października 2021 r. (</w:t>
            </w:r>
            <w:hyperlink r:id="rId43" w:history="1">
              <w:r w:rsidRPr="00046C21">
                <w:rPr>
                  <w:rStyle w:val="Hipercze"/>
                </w:rPr>
                <w:t>dep-zp@mz.gov.pl</w:t>
              </w:r>
            </w:hyperlink>
            <w:r>
              <w:t xml:space="preserve">) </w:t>
            </w:r>
          </w:p>
        </w:tc>
        <w:tc>
          <w:tcPr>
            <w:tcW w:w="1174" w:type="pct"/>
          </w:tcPr>
          <w:p w:rsidR="00D73C1A" w:rsidRDefault="00D47EBB" w:rsidP="000E1A81">
            <w:hyperlink r:id="rId44"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w:t>
            </w:r>
            <w:r w:rsidRPr="00BC6958">
              <w:rPr>
                <w:rFonts w:ascii="Times New Roman" w:eastAsia="Times New Roman" w:hAnsi="Times New Roman" w:cs="Times New Roman"/>
                <w:sz w:val="20"/>
                <w:szCs w:val="20"/>
                <w:lang w:eastAsia="pl-PL"/>
              </w:rPr>
              <w:lastRenderedPageBreak/>
              <w:t>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D47EBB" w:rsidP="000E1A81">
            <w:hyperlink r:id="rId45"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w:t>
            </w:r>
            <w:r w:rsidRPr="008F337B">
              <w:rPr>
                <w:rFonts w:ascii="Times New Roman" w:hAnsi="Times New Roman" w:cs="Times New Roman"/>
                <w:b w:val="0"/>
                <w:color w:val="auto"/>
                <w:sz w:val="20"/>
                <w:szCs w:val="20"/>
                <w:shd w:val="clear" w:color="auto" w:fill="FFFFFF"/>
              </w:rPr>
              <w:lastRenderedPageBreak/>
              <w:t>sprawie określenia warunków zawierania i realizacji umów 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października 2021 r.</w:t>
            </w:r>
          </w:p>
        </w:tc>
        <w:tc>
          <w:tcPr>
            <w:tcW w:w="1174" w:type="pct"/>
          </w:tcPr>
          <w:p w:rsidR="008F337B" w:rsidRDefault="00D47EBB" w:rsidP="000E1A81">
            <w:hyperlink r:id="rId46"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w:t>
            </w:r>
            <w:r w:rsidRPr="004D7BA5">
              <w:rPr>
                <w:rFonts w:ascii="Times New Roman" w:eastAsia="Times New Roman" w:hAnsi="Times New Roman" w:cs="Times New Roman"/>
                <w:sz w:val="20"/>
                <w:szCs w:val="20"/>
                <w:lang w:eastAsia="pl-PL"/>
              </w:rPr>
              <w:lastRenderedPageBreak/>
              <w:t xml:space="preserve">(cel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treści uwagi odnoszącej się do świadczenia 5.08.07.0000023 </w:t>
            </w:r>
            <w:r w:rsidRPr="004D7BA5">
              <w:rPr>
                <w:rFonts w:ascii="Times New Roman" w:eastAsia="Times New Roman" w:hAnsi="Times New Roman" w:cs="Times New Roman"/>
                <w:sz w:val="20"/>
                <w:szCs w:val="20"/>
                <w:lang w:eastAsia="pl-PL"/>
              </w:rPr>
              <w:lastRenderedPageBreak/>
              <w:t>„kwalifikacja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B.65. Leczenie chorych na ostrą białaczkę limfoblastyczną, w związku ze zmianami wprowadzonymi w </w:t>
            </w:r>
            <w:r w:rsidRPr="004D7BA5">
              <w:rPr>
                <w:rFonts w:ascii="Times New Roman" w:eastAsia="Times New Roman" w:hAnsi="Times New Roman" w:cs="Times New Roman"/>
                <w:sz w:val="20"/>
                <w:szCs w:val="20"/>
                <w:lang w:eastAsia="pl-PL"/>
              </w:rPr>
              <w:lastRenderedPageBreak/>
              <w:t>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 1 pkt 5 w zakresie świadczeń o kodach 5.08.08.0000154 i </w:t>
            </w:r>
            <w:r w:rsidRPr="004D7BA5">
              <w:rPr>
                <w:rFonts w:ascii="Times New Roman" w:eastAsia="Times New Roman" w:hAnsi="Times New Roman" w:cs="Times New Roman"/>
                <w:sz w:val="20"/>
                <w:szCs w:val="20"/>
                <w:lang w:eastAsia="pl-PL"/>
              </w:rPr>
              <w:lastRenderedPageBreak/>
              <w:t>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D47EBB" w:rsidP="000E1A81">
            <w:hyperlink r:id="rId47"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D47EBB" w:rsidP="000E1A81">
            <w:hyperlink r:id="rId48"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9F40FB" w:rsidRPr="009F40FB" w:rsidRDefault="009F40FB" w:rsidP="009F40FB">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lastRenderedPageBreak/>
              <w:t xml:space="preserve">Projekt </w:t>
            </w:r>
            <w:r>
              <w:rPr>
                <w:rFonts w:ascii="Times New Roman" w:hAnsi="Times New Roman" w:cs="Times New Roman"/>
                <w:b w:val="0"/>
                <w:color w:val="auto"/>
                <w:sz w:val="20"/>
                <w:szCs w:val="20"/>
                <w:shd w:val="clear" w:color="auto" w:fill="FFFFFF"/>
              </w:rPr>
              <w:lastRenderedPageBreak/>
              <w:t xml:space="preserve">zarządzenia </w:t>
            </w:r>
            <w:r w:rsidRPr="009F40FB">
              <w:rPr>
                <w:rFonts w:ascii="Times New Roman" w:hAnsi="Times New Roman" w:cs="Times New Roman"/>
                <w:b w:val="0"/>
                <w:color w:val="auto"/>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Założeniem i celem programu pilotażowego w zakresie kompleksowej opieki specjalistycznej nad świadczeniobiorcami leczonymi z powodu otyłości olbrzymiej, zwanego dalej „programem pilotażowym”, jest </w:t>
            </w:r>
            <w:r w:rsidRPr="002103C6">
              <w:rPr>
                <w:rFonts w:ascii="Times New Roman" w:eastAsia="Times New Roman" w:hAnsi="Times New Roman" w:cs="Times New Roman"/>
                <w:sz w:val="20"/>
                <w:szCs w:val="20"/>
                <w:lang w:eastAsia="pl-PL"/>
              </w:rPr>
              <w:lastRenderedPageBreak/>
              <w:t xml:space="preserve">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9F40FB"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9F40FB" w:rsidRDefault="002103C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18 października </w:t>
            </w:r>
            <w:r>
              <w:rPr>
                <w:rFonts w:ascii="Times New Roman" w:hAnsi="Times New Roman" w:cs="Times New Roman"/>
                <w:sz w:val="20"/>
                <w:szCs w:val="20"/>
              </w:rPr>
              <w:lastRenderedPageBreak/>
              <w:t>2021 r. (</w:t>
            </w:r>
            <w:hyperlink r:id="rId49" w:history="1">
              <w:r w:rsidRPr="00EE2CC7">
                <w:rPr>
                  <w:rStyle w:val="Hipercze"/>
                  <w:rFonts w:ascii="Arial" w:hAnsi="Arial" w:cs="Arial"/>
                  <w:sz w:val="18"/>
                  <w:szCs w:val="18"/>
                  <w:shd w:val="clear" w:color="auto" w:fill="FFFFFF"/>
                </w:rPr>
                <w:t>sekretariat.dsoz@nfz.gov.pl</w:t>
              </w:r>
            </w:hyperlink>
            <w:r>
              <w:rPr>
                <w:rFonts w:ascii="Arial" w:hAnsi="Arial" w:cs="Arial"/>
                <w:color w:val="66686D"/>
                <w:sz w:val="18"/>
                <w:szCs w:val="18"/>
                <w:shd w:val="clear" w:color="auto" w:fill="FFFFFF"/>
              </w:rPr>
              <w:t>)</w:t>
            </w:r>
          </w:p>
        </w:tc>
        <w:tc>
          <w:tcPr>
            <w:tcW w:w="1174" w:type="pct"/>
          </w:tcPr>
          <w:p w:rsidR="009F40FB" w:rsidRDefault="00D47EBB" w:rsidP="000E1A81">
            <w:hyperlink r:id="rId50" w:history="1">
              <w:r w:rsidR="002103C6">
                <w:rPr>
                  <w:rStyle w:val="Hipercze"/>
                </w:rPr>
                <w:t xml:space="preserve">Projekty zarządzeń / Zarządzenia Prezesa / Narodowy Fundusz </w:t>
              </w:r>
              <w:r w:rsidR="002103C6">
                <w:rPr>
                  <w:rStyle w:val="Hipercze"/>
                </w:rPr>
                <w:lastRenderedPageBreak/>
                <w:t>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D47EBB" w:rsidP="000E1A81">
            <w:hyperlink r:id="rId51"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 xml:space="preserve">Projekt rozporządzenia zmieniającego rozporządzenie Ministra Zdrowia w sprawie współdziałania między organami </w:t>
            </w:r>
            <w:r w:rsidRPr="00020328">
              <w:rPr>
                <w:rFonts w:ascii="Times New Roman" w:hAnsi="Times New Roman" w:cs="Times New Roman"/>
                <w:b w:val="0"/>
                <w:color w:val="auto"/>
                <w:sz w:val="20"/>
                <w:szCs w:val="20"/>
                <w:shd w:val="clear" w:color="auto" w:fill="FFFFFF"/>
              </w:rPr>
              <w:lastRenderedPageBreak/>
              <w:t>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 xml:space="preserve">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w:t>
            </w:r>
            <w:r w:rsidRPr="00020328">
              <w:rPr>
                <w:rFonts w:ascii="Times New Roman" w:eastAsia="Times New Roman" w:hAnsi="Times New Roman" w:cs="Times New Roman"/>
                <w:sz w:val="20"/>
                <w:szCs w:val="20"/>
                <w:lang w:eastAsia="pl-PL"/>
              </w:rPr>
              <w:lastRenderedPageBreak/>
              <w:t>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D47EBB" w:rsidP="000E1A81">
            <w:hyperlink r:id="rId52"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t>Komisja Prawnicza</w:t>
            </w:r>
          </w:p>
        </w:tc>
        <w:tc>
          <w:tcPr>
            <w:tcW w:w="1174" w:type="pct"/>
          </w:tcPr>
          <w:p w:rsidR="00023F5B" w:rsidRDefault="00D47EBB" w:rsidP="000E1A81">
            <w:hyperlink r:id="rId53" w:anchor="12795116" w:history="1">
              <w:r w:rsidR="00023F5B">
                <w:rPr>
                  <w:rStyle w:val="Hipercze"/>
                </w:rPr>
                <w:t>Projekt (legislacja.gov.pl)</w:t>
              </w:r>
            </w:hyperlink>
          </w:p>
        </w:tc>
      </w:tr>
      <w:tr w:rsidR="002D1BDE" w:rsidTr="00A506D2">
        <w:tc>
          <w:tcPr>
            <w:tcW w:w="352" w:type="pct"/>
          </w:tcPr>
          <w:p w:rsidR="002D1BDE" w:rsidRDefault="002D1BDE"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rsidR="002D1BDE" w:rsidRDefault="002D1BDE"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D1BDE" w:rsidRDefault="002D1BDE" w:rsidP="008930E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ustawy o zmianie ustawy o zdrowiu publicznym oraz niektórych innych ustaw</w:t>
            </w:r>
            <w:r>
              <w:rPr>
                <w:rFonts w:ascii="Times New Roman" w:hAnsi="Times New Roman" w:cs="Times New Roman"/>
                <w:b w:val="0"/>
                <w:color w:val="auto"/>
                <w:sz w:val="20"/>
                <w:szCs w:val="20"/>
                <w:shd w:val="clear" w:color="auto" w:fill="FFFFFF"/>
              </w:rPr>
              <w:t xml:space="preserve"> (druk 1631)</w:t>
            </w:r>
          </w:p>
        </w:tc>
        <w:tc>
          <w:tcPr>
            <w:tcW w:w="2115" w:type="pct"/>
          </w:tcPr>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w:t>
            </w:r>
            <w:r w:rsidRPr="0054537B">
              <w:rPr>
                <w:rFonts w:ascii="Times New Roman" w:eastAsia="Times New Roman" w:hAnsi="Times New Roman" w:cs="Times New Roman"/>
                <w:sz w:val="20"/>
                <w:szCs w:val="20"/>
                <w:lang w:eastAsia="pl-PL"/>
              </w:rPr>
              <w:lastRenderedPageBreak/>
              <w:t xml:space="preserve">utworzonej przez ministra właściwego do spraw zdrowia. </w:t>
            </w:r>
          </w:p>
          <w:p w:rsidR="002D1BDE"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w:t>
            </w:r>
            <w:r w:rsidRPr="0054537B">
              <w:rPr>
                <w:rFonts w:ascii="Times New Roman" w:eastAsia="Times New Roman" w:hAnsi="Times New Roman" w:cs="Times New Roman"/>
                <w:sz w:val="20"/>
                <w:szCs w:val="20"/>
                <w:lang w:eastAsia="pl-PL"/>
              </w:rPr>
              <w:lastRenderedPageBreak/>
              <w:t xml:space="preserve">(rządowej i samorządowej).  </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2D1BDE" w:rsidRPr="008930E8" w:rsidRDefault="002D1BDE" w:rsidP="002D1BDE">
            <w:pPr>
              <w:pStyle w:val="NormalnyWeb"/>
              <w:spacing w:after="0"/>
              <w:rPr>
                <w:color w:val="000000"/>
                <w:sz w:val="20"/>
                <w:szCs w:val="20"/>
              </w:rPr>
            </w:pPr>
            <w:r w:rsidRPr="0054537B">
              <w:rPr>
                <w:sz w:val="20"/>
                <w:szCs w:val="20"/>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2D1BDE" w:rsidRDefault="002D1BDE"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na posiedzenie Sejmu</w:t>
            </w:r>
          </w:p>
        </w:tc>
        <w:tc>
          <w:tcPr>
            <w:tcW w:w="1174" w:type="pct"/>
          </w:tcPr>
          <w:p w:rsidR="002D1BDE" w:rsidRDefault="00D47EBB" w:rsidP="000E1A81">
            <w:hyperlink r:id="rId54" w:history="1">
              <w:r w:rsidR="002D1BDE">
                <w:rPr>
                  <w:rStyle w:val="Hipercze"/>
                </w:rPr>
                <w:t>1631.pdf (sejm.gov.pl)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 xml:space="preserve">zmieniające zarządzenie w sprawie warunków zawierania i realizacji umów w rodzaju leczenie szpitalne– </w:t>
            </w:r>
            <w:r w:rsidRPr="008930E8">
              <w:rPr>
                <w:rFonts w:ascii="Times New Roman" w:hAnsi="Times New Roman" w:cs="Times New Roman"/>
                <w:b w:val="0"/>
                <w:color w:val="auto"/>
                <w:sz w:val="20"/>
                <w:szCs w:val="20"/>
                <w:shd w:val="clear" w:color="auto" w:fill="FFFFFF"/>
              </w:rPr>
              <w:lastRenderedPageBreak/>
              <w:t>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lastRenderedPageBreak/>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w:t>
            </w:r>
            <w:r w:rsidRPr="008930E8">
              <w:rPr>
                <w:color w:val="000000"/>
                <w:sz w:val="20"/>
                <w:szCs w:val="20"/>
              </w:rPr>
              <w:lastRenderedPageBreak/>
              <w:t xml:space="preserve">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w:t>
            </w:r>
            <w:r w:rsidRPr="008930E8">
              <w:rPr>
                <w:color w:val="000000"/>
                <w:sz w:val="20"/>
                <w:szCs w:val="20"/>
              </w:rPr>
              <w:lastRenderedPageBreak/>
              <w:t>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55"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D47EBB" w:rsidP="000E1A81">
            <w:hyperlink r:id="rId56" w:history="1">
              <w:r w:rsidR="008930E8">
                <w:rPr>
                  <w:rStyle w:val="Hipercze"/>
                </w:rPr>
                <w:t>Projekty zarządzeń / Zarządzenia Prezesa / Narodowy Fundusz Zdrowia (NFZ) – finansujemy zdrowie Polaków</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Pr="002D6BAA"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w:t>
            </w:r>
            <w:r>
              <w:rPr>
                <w:rFonts w:ascii="Times New Roman" w:hAnsi="Times New Roman" w:cs="Times New Roman"/>
                <w:b w:val="0"/>
                <w:color w:val="auto"/>
                <w:sz w:val="20"/>
                <w:szCs w:val="20"/>
                <w:shd w:val="clear" w:color="auto" w:fill="FFFFFF"/>
              </w:rPr>
              <w:t xml:space="preserve">go </w:t>
            </w:r>
            <w:r w:rsidRPr="008930E8">
              <w:rPr>
                <w:rFonts w:ascii="Times New Roman" w:hAnsi="Times New Roman" w:cs="Times New Roman"/>
                <w:b w:val="0"/>
                <w:color w:val="auto"/>
                <w:sz w:val="20"/>
                <w:szCs w:val="20"/>
                <w:shd w:val="clear" w:color="auto" w:fill="FFFFFF"/>
              </w:rPr>
              <w:t>zarządzenie w sprawie warunków umów o udzielanie onkologicznych świadczeń kompleksowych</w:t>
            </w:r>
          </w:p>
        </w:tc>
        <w:tc>
          <w:tcPr>
            <w:tcW w:w="2115" w:type="pct"/>
          </w:tcPr>
          <w:p w:rsidR="008930E8" w:rsidRPr="002D6BAA" w:rsidRDefault="008930E8" w:rsidP="008930E8">
            <w:pPr>
              <w:pStyle w:val="NormalnyWeb"/>
              <w:spacing w:after="0"/>
              <w:rPr>
                <w:color w:val="000000"/>
                <w:sz w:val="20"/>
                <w:szCs w:val="20"/>
              </w:rPr>
            </w:pPr>
            <w:r w:rsidRPr="008930E8">
              <w:rPr>
                <w:color w:val="000000"/>
                <w:sz w:val="20"/>
                <w:szCs w:val="20"/>
              </w:rPr>
              <w:t>Zarządzenie stanowi wykonanie upoważnienia ustawowego zawartego w art. 146 ust. 1 ustawy z dnia 27 sierpnia 2004 r. o świadczeniach opieki zdrowotnej finansowanych ze środków publicznych (Dz. U. z 2021 r. poz. 1285, z późn. zm.).</w:t>
            </w:r>
            <w:r>
              <w:rPr>
                <w:color w:val="000000"/>
                <w:sz w:val="20"/>
                <w:szCs w:val="20"/>
              </w:rPr>
              <w:t xml:space="preserve"> </w:t>
            </w:r>
            <w:r>
              <w:rPr>
                <w:color w:val="000000"/>
                <w:sz w:val="20"/>
                <w:szCs w:val="20"/>
              </w:rPr>
              <w:br/>
            </w:r>
            <w:r w:rsidRPr="008930E8">
              <w:rPr>
                <w:color w:val="000000"/>
                <w:sz w:val="20"/>
                <w:szCs w:val="20"/>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w:t>
            </w:r>
            <w:r>
              <w:rPr>
                <w:color w:val="000000"/>
                <w:sz w:val="20"/>
                <w:szCs w:val="20"/>
              </w:rPr>
              <w:br/>
            </w:r>
            <w:r w:rsidRPr="008930E8">
              <w:rPr>
                <w:color w:val="000000"/>
                <w:sz w:val="20"/>
                <w:szCs w:val="20"/>
              </w:rPr>
              <w:t>1.</w:t>
            </w:r>
            <w:r>
              <w:rPr>
                <w:color w:val="000000"/>
                <w:sz w:val="20"/>
                <w:szCs w:val="20"/>
              </w:rPr>
              <w:t xml:space="preserve"> </w:t>
            </w:r>
            <w:r w:rsidRPr="008930E8">
              <w:rPr>
                <w:color w:val="000000"/>
                <w:sz w:val="20"/>
                <w:szCs w:val="20"/>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w:t>
            </w:r>
            <w:r>
              <w:rPr>
                <w:color w:val="000000"/>
                <w:sz w:val="20"/>
                <w:szCs w:val="20"/>
              </w:rPr>
              <w:t xml:space="preserve"> chorych z mutacją BRCA1/BRCA2.</w:t>
            </w:r>
            <w:r>
              <w:rPr>
                <w:color w:val="000000"/>
                <w:sz w:val="20"/>
                <w:szCs w:val="20"/>
              </w:rPr>
              <w:br/>
            </w:r>
            <w:r w:rsidRPr="008930E8">
              <w:rPr>
                <w:color w:val="000000"/>
                <w:sz w:val="20"/>
                <w:szCs w:val="20"/>
              </w:rPr>
              <w:t xml:space="preserve">Ponadto w załączniku 1on wprowadzono nowy produkt rozliczeniowy Pobyt diagnostyczny – kod 5.60.01.0000015, możliwy do rozliczenia w </w:t>
            </w:r>
            <w:r w:rsidRPr="008930E8">
              <w:rPr>
                <w:color w:val="000000"/>
                <w:sz w:val="20"/>
                <w:szCs w:val="20"/>
              </w:rPr>
              <w:lastRenderedPageBreak/>
              <w:t>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w:t>
            </w:r>
            <w:r>
              <w:rPr>
                <w:color w:val="000000"/>
                <w:sz w:val="20"/>
                <w:szCs w:val="20"/>
              </w:rPr>
              <w:t>czny - w trybie ambulatoryjnym.</w:t>
            </w:r>
            <w:r>
              <w:rPr>
                <w:color w:val="000000"/>
                <w:sz w:val="20"/>
                <w:szCs w:val="20"/>
              </w:rPr>
              <w:br/>
            </w:r>
            <w:r w:rsidRPr="008930E8">
              <w:rPr>
                <w:color w:val="000000"/>
                <w:sz w:val="20"/>
                <w:szCs w:val="20"/>
              </w:rPr>
              <w:t>Na zasadzie symetryzacji zmianie uległy odpowiednio pr</w:t>
            </w:r>
            <w:r>
              <w:rPr>
                <w:color w:val="000000"/>
                <w:sz w:val="20"/>
                <w:szCs w:val="20"/>
              </w:rPr>
              <w:t>zepisy § 18 pkt 13 zarządzenia.</w:t>
            </w:r>
            <w:r>
              <w:rPr>
                <w:color w:val="000000"/>
                <w:sz w:val="20"/>
                <w:szCs w:val="20"/>
              </w:rPr>
              <w:br/>
            </w:r>
            <w:r w:rsidRPr="008930E8">
              <w:rPr>
                <w:color w:val="000000"/>
                <w:sz w:val="20"/>
                <w:szCs w:val="20"/>
              </w:rPr>
              <w:t>2</w:t>
            </w:r>
            <w:r>
              <w:rPr>
                <w:color w:val="000000"/>
                <w:sz w:val="20"/>
                <w:szCs w:val="20"/>
              </w:rPr>
              <w:t xml:space="preserve"> </w:t>
            </w:r>
            <w:r w:rsidRPr="008930E8">
              <w:rPr>
                <w:color w:val="000000"/>
                <w:sz w:val="20"/>
                <w:szCs w:val="20"/>
              </w:rPr>
              <w:t>W załączniku nr 2 (katalog zakresów świadczeń - onkologiczne świadczenia kompleksowe) dokonano zmiany technicznej kodów zakresów świadczeń. Od  dnia 1 stycznia 2022 r. dla doty</w:t>
            </w:r>
            <w:r>
              <w:rPr>
                <w:color w:val="000000"/>
                <w:sz w:val="20"/>
                <w:szCs w:val="20"/>
              </w:rPr>
              <w:t>chczasowych zakresów świadczeń:</w:t>
            </w:r>
            <w:r>
              <w:rPr>
                <w:color w:val="000000"/>
                <w:sz w:val="20"/>
                <w:szCs w:val="20"/>
              </w:rPr>
              <w:br/>
              <w:t xml:space="preserve">- </w:t>
            </w:r>
            <w:r w:rsidRPr="008930E8">
              <w:rPr>
                <w:color w:val="000000"/>
                <w:sz w:val="20"/>
                <w:szCs w:val="20"/>
              </w:rPr>
              <w:t xml:space="preserve">Kompleksowa opieka onkologiczna nad świadczeniobiorcą z nowotworem piersi (KON-Pierś) – </w:t>
            </w:r>
            <w:r>
              <w:rPr>
                <w:color w:val="000000"/>
                <w:sz w:val="20"/>
                <w:szCs w:val="20"/>
              </w:rPr>
              <w:t>kod zakresu 03.4240.020.02 oraz</w:t>
            </w:r>
            <w:r>
              <w:rPr>
                <w:color w:val="000000"/>
                <w:sz w:val="20"/>
                <w:szCs w:val="20"/>
              </w:rPr>
              <w:br/>
              <w:t xml:space="preserve">- </w:t>
            </w:r>
            <w:r w:rsidRPr="008930E8">
              <w:rPr>
                <w:color w:val="000000"/>
                <w:sz w:val="20"/>
                <w:szCs w:val="20"/>
              </w:rPr>
              <w:t>Kompleksowa opieka onkologiczna nad pacjentem z nowotworem jelita grubego (KON-J</w:t>
            </w:r>
            <w:r>
              <w:rPr>
                <w:color w:val="000000"/>
                <w:sz w:val="20"/>
                <w:szCs w:val="20"/>
              </w:rPr>
              <w:t>G) – kod zakresu 03.4240.021.02</w:t>
            </w:r>
            <w:r>
              <w:rPr>
                <w:color w:val="000000"/>
                <w:sz w:val="20"/>
                <w:szCs w:val="20"/>
              </w:rPr>
              <w:br/>
            </w:r>
            <w:r w:rsidRPr="008930E8">
              <w:rPr>
                <w:color w:val="000000"/>
                <w:sz w:val="20"/>
                <w:szCs w:val="20"/>
              </w:rPr>
              <w:t>będą obowiązywały odpowiednio kody zakresów: 03.4240.010.02 oraz 03.4</w:t>
            </w:r>
            <w:r>
              <w:rPr>
                <w:color w:val="000000"/>
                <w:sz w:val="20"/>
                <w:szCs w:val="20"/>
              </w:rPr>
              <w:t>240.011.02.</w:t>
            </w:r>
            <w:r>
              <w:rPr>
                <w:color w:val="000000"/>
                <w:sz w:val="20"/>
                <w:szCs w:val="20"/>
              </w:rPr>
              <w:br/>
            </w:r>
            <w:r w:rsidRPr="008930E8">
              <w:rPr>
                <w:color w:val="000000"/>
                <w:sz w:val="20"/>
                <w:szCs w:val="20"/>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w:t>
            </w:r>
            <w:r>
              <w:rPr>
                <w:color w:val="000000"/>
                <w:sz w:val="20"/>
                <w:szCs w:val="20"/>
              </w:rPr>
              <w:t xml:space="preserve"> 4 do niniejszego zarządzenia).</w:t>
            </w:r>
            <w:r>
              <w:rPr>
                <w:color w:val="000000"/>
                <w:sz w:val="20"/>
                <w:szCs w:val="20"/>
              </w:rPr>
              <w:br/>
            </w:r>
            <w:r w:rsidRPr="008930E8">
              <w:rPr>
                <w:color w:val="000000"/>
                <w:sz w:val="20"/>
                <w:szCs w:val="20"/>
              </w:rPr>
              <w:t>3.</w:t>
            </w:r>
            <w:r>
              <w:rPr>
                <w:color w:val="000000"/>
                <w:sz w:val="20"/>
                <w:szCs w:val="20"/>
              </w:rPr>
              <w:t xml:space="preserve"> </w:t>
            </w:r>
            <w:r w:rsidRPr="008930E8">
              <w:rPr>
                <w:color w:val="000000"/>
                <w:sz w:val="20"/>
                <w:szCs w:val="20"/>
              </w:rPr>
              <w:t xml:space="preserve">Dokonano technicznych zmian w załączniku nr 2 (katalog zakresów świadczeń - onkologiczne świadczenia kompleksowe) polegających na usunięciu jako produktów rozliczeniowych dedykowanych poszczególnym zakresom świadczeń pozycji określonych w kolumnie 6 </w:t>
            </w:r>
            <w:r w:rsidRPr="008930E8">
              <w:rPr>
                <w:color w:val="000000"/>
                <w:sz w:val="20"/>
                <w:szCs w:val="20"/>
              </w:rPr>
              <w:lastRenderedPageBreak/>
              <w:t xml:space="preserve">–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w:t>
            </w:r>
            <w:r>
              <w:rPr>
                <w:color w:val="000000"/>
                <w:sz w:val="20"/>
                <w:szCs w:val="20"/>
              </w:rPr>
              <w:t>konieczności ich wyodrębniania.</w:t>
            </w:r>
            <w:r>
              <w:rPr>
                <w:color w:val="000000"/>
                <w:sz w:val="20"/>
                <w:szCs w:val="20"/>
              </w:rPr>
              <w:br/>
            </w:r>
            <w:r w:rsidRPr="008930E8">
              <w:rPr>
                <w:color w:val="000000"/>
                <w:sz w:val="20"/>
                <w:szCs w:val="20"/>
              </w:rPr>
              <w:t>Ponadto zaktualizowano użytą w załączniku nr 2 nazwę katalogu 1on – katalog onkologicznych świadczeń komp</w:t>
            </w:r>
            <w:r>
              <w:rPr>
                <w:color w:val="000000"/>
                <w:sz w:val="20"/>
                <w:szCs w:val="20"/>
              </w:rPr>
              <w:t>leksowych.</w:t>
            </w:r>
            <w:r>
              <w:rPr>
                <w:color w:val="000000"/>
                <w:sz w:val="20"/>
                <w:szCs w:val="20"/>
              </w:rPr>
              <w:br/>
            </w:r>
            <w:r w:rsidRPr="008930E8">
              <w:rPr>
                <w:color w:val="000000"/>
                <w:sz w:val="20"/>
                <w:szCs w:val="20"/>
              </w:rPr>
              <w:t>Przedmiotowe działania zostały podjęte w ramach realizacji celu nr 2 Strategii Narodowego Funduszu Zdrowia na lata 2019-2023 – Poprawa jakości i dostępnoś</w:t>
            </w:r>
            <w:r>
              <w:rPr>
                <w:color w:val="000000"/>
                <w:sz w:val="20"/>
                <w:szCs w:val="20"/>
              </w:rPr>
              <w:t>ci świadczeń opieki zdrowotnej.</w:t>
            </w:r>
            <w:r>
              <w:rPr>
                <w:color w:val="000000"/>
                <w:sz w:val="20"/>
                <w:szCs w:val="20"/>
              </w:rPr>
              <w:br/>
            </w:r>
            <w:r w:rsidRPr="008930E8">
              <w:rPr>
                <w:color w:val="000000"/>
                <w:sz w:val="20"/>
                <w:szCs w:val="20"/>
              </w:rPr>
              <w:t>Zarządzenie wchodzi w życie z dniem 1 listopada 2021 r. z wyjątkiem § 1 pkt 2 lit. b oraz pkt 3, które wchodzą w życie z dniem 1 stycznia 2022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22 października 2021 r. (</w:t>
            </w:r>
            <w:hyperlink r:id="rId57" w:history="1">
              <w:r>
                <w:rPr>
                  <w:rStyle w:val="Hipercze"/>
                  <w:rFonts w:ascii="Arial" w:hAnsi="Arial" w:cs="Arial"/>
                  <w:color w:val="172983"/>
                  <w:sz w:val="18"/>
                  <w:szCs w:val="18"/>
                  <w:shd w:val="clear" w:color="auto" w:fill="FFFFFF"/>
                </w:rPr>
                <w:t>szpital.dsoz@nfz.gov.pl</w:t>
              </w:r>
            </w:hyperlink>
            <w:r>
              <w:t>)</w:t>
            </w:r>
          </w:p>
        </w:tc>
        <w:tc>
          <w:tcPr>
            <w:tcW w:w="1174" w:type="pct"/>
          </w:tcPr>
          <w:p w:rsidR="008930E8" w:rsidRDefault="00D47EBB" w:rsidP="000E1A81">
            <w:hyperlink r:id="rId58"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2D6BAA" w:rsidRDefault="002D6BAA" w:rsidP="002D6BAA">
            <w:pPr>
              <w:pStyle w:val="Nagwek1"/>
              <w:outlineLvl w:val="0"/>
              <w:rPr>
                <w:rFonts w:ascii="Arial" w:hAnsi="Arial" w:cstheme="minorBidi"/>
                <w:color w:val="auto"/>
                <w:sz w:val="24"/>
                <w:szCs w:val="24"/>
              </w:rPr>
            </w:pPr>
            <w:r w:rsidRPr="002D6BAA">
              <w:rPr>
                <w:rFonts w:ascii="Times New Roman" w:hAnsi="Times New Roman" w:cs="Times New Roman"/>
                <w:b w:val="0"/>
                <w:color w:val="auto"/>
                <w:sz w:val="20"/>
                <w:szCs w:val="20"/>
                <w:shd w:val="clear" w:color="auto" w:fill="FFFFFF"/>
              </w:rPr>
              <w:t>Projekt zarządzenia zmieniające</w:t>
            </w:r>
            <w:r>
              <w:rPr>
                <w:rFonts w:ascii="Times New Roman" w:hAnsi="Times New Roman" w:cs="Times New Roman"/>
                <w:b w:val="0"/>
                <w:color w:val="auto"/>
                <w:sz w:val="20"/>
                <w:szCs w:val="20"/>
                <w:shd w:val="clear" w:color="auto" w:fill="FFFFFF"/>
              </w:rPr>
              <w:t>go</w:t>
            </w:r>
            <w:r w:rsidRPr="002D6BAA">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2D6BAA" w:rsidRPr="002D6BAA" w:rsidRDefault="002D6BAA" w:rsidP="002D6BAA">
            <w:pPr>
              <w:pStyle w:val="NormalnyWeb"/>
              <w:spacing w:before="0" w:beforeAutospacing="0" w:after="0"/>
              <w:rPr>
                <w:color w:val="000000"/>
                <w:sz w:val="20"/>
                <w:szCs w:val="20"/>
              </w:rPr>
            </w:pPr>
            <w:r w:rsidRPr="002D6BAA">
              <w:rPr>
                <w:color w:val="000000"/>
                <w:sz w:val="20"/>
                <w:szCs w:val="20"/>
              </w:rPr>
              <w:t>Zarządzenie stanowi wykonanie upoważnienia ustawowego zawartego w  art.  146 ust. 1 ustawy z dnia 27 sierpnia 2004 r. o świadczeniach opieki zdrowotnej finansowanych ze środków publicznych (Dz. U. z 2021 r. poz. 1285 z późn. zm.), zwanej dalej „ustawą o świadczeniach”.</w:t>
            </w:r>
            <w:r>
              <w:rPr>
                <w:color w:val="000000"/>
                <w:sz w:val="20"/>
                <w:szCs w:val="20"/>
              </w:rPr>
              <w:t xml:space="preserve"> </w:t>
            </w:r>
            <w:r w:rsidRPr="002D6BAA">
              <w:rPr>
                <w:color w:val="000000"/>
                <w:sz w:val="20"/>
                <w:szCs w:val="20"/>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r w:rsidR="008930E8">
              <w:rPr>
                <w:color w:val="000000"/>
                <w:sz w:val="20"/>
                <w:szCs w:val="20"/>
              </w:rPr>
              <w:br/>
            </w:r>
            <w:r w:rsidRPr="002D6BAA">
              <w:rPr>
                <w:color w:val="000000"/>
                <w:sz w:val="20"/>
                <w:szCs w:val="20"/>
              </w:rPr>
              <w:t xml:space="preserve"> - Pomostowanie naczyń wieńcowych z plastyką;</w:t>
            </w:r>
            <w:r w:rsidR="008930E8">
              <w:rPr>
                <w:color w:val="000000"/>
                <w:sz w:val="20"/>
                <w:szCs w:val="20"/>
              </w:rPr>
              <w:t xml:space="preserve">  </w:t>
            </w:r>
            <w:r w:rsidR="008930E8">
              <w:rPr>
                <w:color w:val="000000"/>
                <w:sz w:val="20"/>
                <w:szCs w:val="20"/>
              </w:rPr>
              <w:br/>
            </w:r>
            <w:r w:rsidRPr="002D6BAA">
              <w:rPr>
                <w:color w:val="000000"/>
                <w:sz w:val="20"/>
                <w:szCs w:val="20"/>
              </w:rPr>
              <w:t xml:space="preserve"> - Pomostowa</w:t>
            </w:r>
            <w:r w:rsidR="008930E8">
              <w:rPr>
                <w:color w:val="000000"/>
                <w:sz w:val="20"/>
                <w:szCs w:val="20"/>
              </w:rPr>
              <w:t>nie naczyń wieńcowych z pw &gt;=2;</w:t>
            </w:r>
            <w:r w:rsidR="008930E8">
              <w:rPr>
                <w:color w:val="000000"/>
                <w:sz w:val="20"/>
                <w:szCs w:val="20"/>
              </w:rPr>
              <w:br/>
            </w:r>
            <w:r w:rsidRPr="002D6BAA">
              <w:rPr>
                <w:color w:val="000000"/>
                <w:sz w:val="20"/>
                <w:szCs w:val="20"/>
              </w:rPr>
              <w:t xml:space="preserve"> - Pomosto</w:t>
            </w:r>
            <w:r>
              <w:rPr>
                <w:color w:val="000000"/>
                <w:sz w:val="20"/>
                <w:szCs w:val="20"/>
              </w:rPr>
              <w:t>wanie naczyń wieńcowych bez pw.</w:t>
            </w:r>
            <w:r>
              <w:rPr>
                <w:color w:val="000000"/>
                <w:sz w:val="20"/>
                <w:szCs w:val="20"/>
              </w:rPr>
              <w:tab/>
            </w:r>
            <w:r w:rsidR="008930E8">
              <w:rPr>
                <w:color w:val="000000"/>
                <w:sz w:val="20"/>
                <w:szCs w:val="20"/>
              </w:rPr>
              <w:br/>
            </w:r>
            <w:r w:rsidRPr="002D6BAA">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w:t>
            </w:r>
            <w:r w:rsidRPr="002D6BAA">
              <w:rPr>
                <w:color w:val="000000"/>
                <w:sz w:val="20"/>
                <w:szCs w:val="20"/>
              </w:rPr>
              <w:lastRenderedPageBreak/>
              <w:t>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sidRPr="002D6BAA">
              <w:rPr>
                <w:color w:val="000000"/>
                <w:sz w:val="20"/>
                <w:szCs w:val="20"/>
              </w:rPr>
              <w:t>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w:t>
            </w:r>
            <w:r>
              <w:rPr>
                <w:color w:val="000000"/>
                <w:sz w:val="20"/>
                <w:szCs w:val="20"/>
              </w:rPr>
              <w:t xml:space="preserve"> </w:t>
            </w:r>
            <w:r w:rsidRPr="002D6BAA">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r>
              <w:rPr>
                <w:color w:val="000000"/>
                <w:sz w:val="20"/>
                <w:szCs w:val="20"/>
              </w:rPr>
              <w:t xml:space="preserve"> </w:t>
            </w:r>
            <w:r w:rsidRPr="002D6BAA">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t xml:space="preserve"> </w:t>
            </w:r>
            <w:r w:rsidRPr="002D6BAA">
              <w:rPr>
                <w:color w:val="000000"/>
                <w:sz w:val="20"/>
                <w:szCs w:val="20"/>
              </w:rPr>
              <w:t xml:space="preserve">Wprowadzane zmiany powodują skutki finansowe dla świadczeń gwarantowanych z obszaru kardiochirurgii po stronie płatnika w wysokości 82 083 328 mln. Skutek finansowy dla </w:t>
            </w:r>
            <w:r w:rsidRPr="002D6BAA">
              <w:rPr>
                <w:color w:val="000000"/>
                <w:sz w:val="20"/>
                <w:szCs w:val="20"/>
              </w:rPr>
              <w:lastRenderedPageBreak/>
              <w:t>pozostałych wprowadzanych niniejszym zarządzeniem zmian w chwili obecnej nie jest możliwy do oszacowania.</w:t>
            </w:r>
            <w:r w:rsidR="008930E8">
              <w:rPr>
                <w:color w:val="000000"/>
                <w:sz w:val="20"/>
                <w:szCs w:val="20"/>
              </w:rPr>
              <w:br/>
            </w:r>
            <w:r w:rsidRPr="002D6BAA">
              <w:rPr>
                <w:color w:val="000000"/>
                <w:sz w:val="20"/>
                <w:szCs w:val="20"/>
              </w:rPr>
              <w:t>Zarządzenie wchodzi w życie z dniem 1 listopada 2021 r.</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59"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2D6BAA" w:rsidRDefault="00D47EBB" w:rsidP="000E1A81">
            <w:hyperlink r:id="rId60" w:history="1">
              <w:r w:rsidR="002D6BAA">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lastRenderedPageBreak/>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D47EBB" w:rsidP="000E1A81">
            <w:hyperlink r:id="rId61"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D47EBB" w:rsidP="000E1A81">
            <w:hyperlink r:id="rId62"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D47EBB" w:rsidP="000E1A81">
            <w:hyperlink r:id="rId63"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2314ED" w:rsidRDefault="00D47EBB" w:rsidP="000E1A81">
            <w:hyperlink r:id="rId64"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w:t>
            </w:r>
            <w:r w:rsidRPr="00692133">
              <w:rPr>
                <w:rFonts w:ascii="Times New Roman" w:hAnsi="Times New Roman" w:cs="Times New Roman"/>
                <w:b w:val="0"/>
                <w:color w:val="auto"/>
                <w:sz w:val="20"/>
                <w:szCs w:val="20"/>
                <w:shd w:val="clear" w:color="auto" w:fill="FFFFFF"/>
              </w:rPr>
              <w:lastRenderedPageBreak/>
              <w:t>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lastRenderedPageBreak/>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w:t>
            </w:r>
            <w:r w:rsidRPr="00F73B45">
              <w:rPr>
                <w:color w:val="000000"/>
                <w:sz w:val="20"/>
                <w:szCs w:val="20"/>
              </w:rPr>
              <w:lastRenderedPageBreak/>
              <w:t xml:space="preserve">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w:t>
            </w:r>
            <w:r w:rsidRPr="00F73B45">
              <w:rPr>
                <w:color w:val="000000"/>
                <w:sz w:val="20"/>
                <w:szCs w:val="20"/>
              </w:rPr>
              <w:lastRenderedPageBreak/>
              <w:t xml:space="preserve">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w:t>
            </w:r>
            <w:r w:rsidRPr="00F73B45">
              <w:rPr>
                <w:color w:val="000000"/>
                <w:sz w:val="20"/>
                <w:szCs w:val="20"/>
              </w:rPr>
              <w:lastRenderedPageBreak/>
              <w:t xml:space="preserve">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w:t>
            </w:r>
            <w:r w:rsidRPr="00F73B45">
              <w:rPr>
                <w:color w:val="000000"/>
                <w:sz w:val="20"/>
                <w:szCs w:val="20"/>
              </w:rPr>
              <w:lastRenderedPageBreak/>
              <w:t xml:space="preserve">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65"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D47EBB" w:rsidP="000E1A81">
            <w:hyperlink r:id="rId66"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D47EBB" w:rsidP="000E1A81">
            <w:hyperlink r:id="rId67"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 xml:space="preserve">OBWIESZCZENIE MARSZAŁKA SEJMU RZECZYPOSPOLITEJ POLSKIEJ z dnia 16 września 2021 r. w sprawie ogłoszenia jednolitego tekstu ustawy o sposobie ustalania najniższego wynagrodzenia zasadniczego niektórych pracowników </w:t>
            </w:r>
            <w:r w:rsidRPr="00FD4BE5">
              <w:rPr>
                <w:rFonts w:ascii="Times New Roman" w:hAnsi="Times New Roman" w:cs="Times New Roman"/>
                <w:b w:val="0"/>
                <w:color w:val="auto"/>
                <w:sz w:val="20"/>
                <w:szCs w:val="20"/>
                <w:shd w:val="clear" w:color="auto" w:fill="FFFFFF"/>
              </w:rPr>
              <w:lastRenderedPageBreak/>
              <w:t>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lastRenderedPageBreak/>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D47EBB" w:rsidP="000E1A81">
            <w:hyperlink r:id="rId68"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D47EBB" w:rsidP="000E1A81">
            <w:hyperlink r:id="rId69"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 xml:space="preserve">Ustawa z dnia 17 września 2021 r. o zmianie ustawy o szczególnych rozwiązaniach związanych z zapobieganiem, przeciwdziałaniem i zwalczaniem </w:t>
            </w:r>
            <w:r w:rsidRPr="0029746F">
              <w:rPr>
                <w:rFonts w:ascii="Times New Roman" w:hAnsi="Times New Roman" w:cs="Times New Roman"/>
                <w:b w:val="0"/>
                <w:color w:val="auto"/>
                <w:sz w:val="20"/>
                <w:szCs w:val="20"/>
                <w:shd w:val="clear" w:color="auto" w:fill="FFFFFF"/>
              </w:rPr>
              <w:lastRenderedPageBreak/>
              <w:t>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D47EBB" w:rsidP="000E1A81">
            <w:hyperlink r:id="rId70"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D47EBB" w:rsidP="000E1A81">
            <w:hyperlink r:id="rId71"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 xml:space="preserve">Projekt uchwały Rady Ministrów w sprawie Harmonogramu realizacji Krajowego </w:t>
            </w:r>
            <w:r w:rsidRPr="002B2476">
              <w:rPr>
                <w:rFonts w:ascii="Times New Roman" w:hAnsi="Times New Roman" w:cs="Times New Roman"/>
                <w:b w:val="0"/>
                <w:color w:val="auto"/>
                <w:sz w:val="20"/>
                <w:szCs w:val="20"/>
                <w:shd w:val="clear" w:color="auto" w:fill="FFFFFF"/>
              </w:rPr>
              <w:lastRenderedPageBreak/>
              <w:t>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 xml:space="preserve">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w:t>
            </w:r>
            <w:r w:rsidRPr="002B2476">
              <w:rPr>
                <w:rFonts w:ascii="Times New Roman" w:eastAsia="Times New Roman" w:hAnsi="Times New Roman" w:cs="Times New Roman"/>
                <w:sz w:val="20"/>
                <w:szCs w:val="20"/>
                <w:lang w:eastAsia="pl-PL"/>
              </w:rPr>
              <w:lastRenderedPageBreak/>
              <w:t>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D47EBB" w:rsidP="000E1A81">
            <w:hyperlink r:id="rId72" w:history="1">
              <w:r w:rsidR="002B2476">
                <w:rPr>
                  <w:rStyle w:val="Hipercze"/>
                </w:rPr>
                <w:t xml:space="preserve">Projekt uchwały Rady Ministrów w sprawie Harmonogramu realizacji Krajowego Programu Zapobiegania Zakażeniom HIV i Zwalczania AIDS opracowanego na lata 2022-2026 - Wykaz prac legislacyjnych i programowych </w:t>
              </w:r>
              <w:r w:rsidR="002B2476">
                <w:rPr>
                  <w:rStyle w:val="Hipercze"/>
                </w:rPr>
                <w:lastRenderedPageBreak/>
                <w:t>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korekty w przepisie dotyczącym weryfikacji uprawnień do świadczeń w usłudze e-WUŚ, poprzez uzupełnienie, że w przypadku złożenia deklaracji wyboru za pośrednictwem Internetowego </w:t>
            </w:r>
            <w:r w:rsidRPr="00616893">
              <w:rPr>
                <w:rFonts w:ascii="Times New Roman" w:eastAsia="Times New Roman" w:hAnsi="Times New Roman" w:cs="Times New Roman"/>
                <w:sz w:val="20"/>
                <w:szCs w:val="20"/>
                <w:lang w:eastAsia="pl-PL"/>
              </w:rPr>
              <w:lastRenderedPageBreak/>
              <w:t>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t>
            </w:r>
            <w:r w:rsidRPr="00616893">
              <w:rPr>
                <w:rFonts w:ascii="Times New Roman" w:eastAsia="Times New Roman" w:hAnsi="Times New Roman" w:cs="Times New Roman"/>
                <w:sz w:val="20"/>
                <w:szCs w:val="20"/>
                <w:lang w:eastAsia="pl-PL"/>
              </w:rPr>
              <w:lastRenderedPageBreak/>
              <w:t>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D47EBB" w:rsidP="000E1A81">
            <w:hyperlink r:id="rId73"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D47EBB" w:rsidP="000E1A81">
            <w:hyperlink r:id="rId74"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w:t>
            </w:r>
            <w:r w:rsidRPr="00616893">
              <w:rPr>
                <w:rFonts w:ascii="Times New Roman" w:eastAsia="Times New Roman" w:hAnsi="Times New Roman" w:cs="Times New Roman"/>
                <w:sz w:val="20"/>
                <w:szCs w:val="20"/>
                <w:lang w:eastAsia="pl-PL"/>
              </w:rPr>
              <w:lastRenderedPageBreak/>
              <w:t>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D47EBB" w:rsidP="000E1A81">
            <w:hyperlink r:id="rId75"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w:t>
            </w:r>
            <w:r w:rsidRPr="00616893">
              <w:rPr>
                <w:rFonts w:ascii="Times New Roman" w:eastAsia="Times New Roman" w:hAnsi="Times New Roman" w:cs="Times New Roman"/>
                <w:sz w:val="20"/>
                <w:szCs w:val="20"/>
                <w:lang w:eastAsia="pl-PL"/>
              </w:rPr>
              <w:lastRenderedPageBreak/>
              <w:t xml:space="preserve">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D47EBB" w:rsidP="000E1A81">
            <w:hyperlink r:id="rId76"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D47EBB" w:rsidP="000E1A81">
            <w:hyperlink r:id="rId77"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27 września 2021 r. zmieniające rozporządzenie w sprawie szczegółowych kryteriów </w:t>
            </w:r>
            <w:r w:rsidRPr="0057559D">
              <w:rPr>
                <w:rFonts w:ascii="Times New Roman" w:hAnsi="Times New Roman" w:cs="Times New Roman"/>
                <w:b w:val="0"/>
                <w:color w:val="auto"/>
                <w:sz w:val="20"/>
                <w:szCs w:val="20"/>
                <w:shd w:val="clear" w:color="auto" w:fill="FFFFFF"/>
              </w:rPr>
              <w:lastRenderedPageBreak/>
              <w:t>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w:t>
            </w:r>
            <w:r w:rsidRPr="00374EA0">
              <w:rPr>
                <w:rFonts w:ascii="Times New Roman" w:eastAsia="Times New Roman" w:hAnsi="Times New Roman" w:cs="Times New Roman"/>
                <w:sz w:val="20"/>
                <w:szCs w:val="20"/>
                <w:lang w:eastAsia="pl-PL"/>
              </w:rPr>
              <w:lastRenderedPageBreak/>
              <w:t>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D47EBB" w:rsidP="000E1A81">
            <w:hyperlink r:id="rId78"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w:t>
            </w:r>
            <w:r w:rsidRPr="00604D3E">
              <w:rPr>
                <w:rFonts w:ascii="Times New Roman" w:eastAsia="Times New Roman" w:hAnsi="Times New Roman" w:cs="Times New Roman"/>
                <w:sz w:val="20"/>
                <w:szCs w:val="20"/>
                <w:lang w:eastAsia="pl-PL"/>
              </w:rPr>
              <w:lastRenderedPageBreak/>
              <w:t xml:space="preserve">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w:t>
            </w:r>
            <w:r w:rsidRPr="00604D3E">
              <w:rPr>
                <w:rFonts w:ascii="Times New Roman" w:eastAsia="Times New Roman" w:hAnsi="Times New Roman" w:cs="Times New Roman"/>
                <w:sz w:val="20"/>
                <w:szCs w:val="20"/>
                <w:lang w:eastAsia="pl-PL"/>
              </w:rPr>
              <w:lastRenderedPageBreak/>
              <w:t xml:space="preserve">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lastRenderedPageBreak/>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w:t>
            </w:r>
            <w:r w:rsidRPr="00604D3E">
              <w:rPr>
                <w:rFonts w:ascii="Times New Roman" w:eastAsia="Times New Roman" w:hAnsi="Times New Roman" w:cs="Times New Roman"/>
                <w:sz w:val="20"/>
                <w:szCs w:val="20"/>
                <w:lang w:eastAsia="pl-PL"/>
              </w:rPr>
              <w:lastRenderedPageBreak/>
              <w:t xml:space="preserve">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t>
            </w:r>
            <w:r w:rsidRPr="00604D3E">
              <w:rPr>
                <w:rFonts w:ascii="Times New Roman" w:eastAsia="Times New Roman" w:hAnsi="Times New Roman" w:cs="Times New Roman"/>
                <w:sz w:val="20"/>
                <w:szCs w:val="20"/>
                <w:lang w:eastAsia="pl-PL"/>
              </w:rPr>
              <w:lastRenderedPageBreak/>
              <w:t>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D47EBB" w:rsidP="000E1A81">
            <w:hyperlink r:id="rId79"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lastRenderedPageBreak/>
              <w:t xml:space="preserve">Rozporządzenie </w:t>
            </w:r>
            <w:r w:rsidRPr="0057559D">
              <w:rPr>
                <w:rFonts w:ascii="Times New Roman" w:hAnsi="Times New Roman" w:cs="Times New Roman"/>
                <w:b w:val="0"/>
                <w:color w:val="auto"/>
                <w:sz w:val="20"/>
                <w:szCs w:val="20"/>
                <w:shd w:val="clear" w:color="auto" w:fill="FFFFFF"/>
              </w:rPr>
              <w:lastRenderedPageBreak/>
              <w:t>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 xml:space="preserve">liczebności i kwalifikacji personelu biorącego udział w </w:t>
            </w:r>
            <w:r w:rsidRPr="00300DD8">
              <w:rPr>
                <w:rFonts w:ascii="Times New Roman" w:eastAsia="Times New Roman" w:hAnsi="Times New Roman" w:cs="Times New Roman"/>
                <w:sz w:val="20"/>
                <w:szCs w:val="20"/>
                <w:lang w:eastAsia="pl-PL"/>
              </w:rPr>
              <w:lastRenderedPageBreak/>
              <w:t>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Efektem projektowanego rozporządzenia będzie zapewnienie bezpieczeństwa dla personelu oraz pacjentów przy udzielaniu świadczeń zdrowotnych z zakresu rentgenodiagnostyki, radiologii </w:t>
            </w:r>
            <w:r w:rsidRPr="00300DD8">
              <w:rPr>
                <w:rFonts w:ascii="Times New Roman" w:eastAsia="Times New Roman" w:hAnsi="Times New Roman" w:cs="Times New Roman"/>
                <w:sz w:val="20"/>
                <w:szCs w:val="20"/>
                <w:lang w:eastAsia="pl-PL"/>
              </w:rPr>
              <w:lastRenderedPageBreak/>
              <w:t>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września </w:t>
            </w:r>
            <w:r>
              <w:rPr>
                <w:rFonts w:ascii="Times New Roman" w:hAnsi="Times New Roman" w:cs="Times New Roman"/>
                <w:sz w:val="20"/>
                <w:szCs w:val="20"/>
              </w:rPr>
              <w:lastRenderedPageBreak/>
              <w:t>2021 r.</w:t>
            </w:r>
          </w:p>
        </w:tc>
        <w:tc>
          <w:tcPr>
            <w:tcW w:w="1174" w:type="pct"/>
          </w:tcPr>
          <w:p w:rsidR="0057559D" w:rsidRDefault="00D47EBB" w:rsidP="000E1A81">
            <w:hyperlink r:id="rId80" w:history="1">
              <w:r w:rsidR="0057559D">
                <w:rPr>
                  <w:rStyle w:val="Hipercze"/>
                </w:rPr>
                <w:t xml:space="preserve">Rozporządzenie Ministra Zdrowia z dnia 13 września 2021 r. w </w:t>
              </w:r>
              <w:r w:rsidR="0057559D">
                <w:rPr>
                  <w:rStyle w:val="Hipercze"/>
                </w:rPr>
                <w:lastRenderedPageBreak/>
                <w:t>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rsidR="00374EA0" w:rsidRDefault="00D47EBB" w:rsidP="000E1A81">
            <w:hyperlink r:id="rId81"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 xml:space="preserve">Projekt rozporządzenia Ministra Zdrowia </w:t>
            </w:r>
            <w:r w:rsidRPr="00BC6958">
              <w:rPr>
                <w:rFonts w:ascii="Times New Roman" w:hAnsi="Times New Roman" w:cs="Times New Roman"/>
                <w:b w:val="0"/>
                <w:color w:val="auto"/>
                <w:sz w:val="20"/>
                <w:szCs w:val="20"/>
                <w:shd w:val="clear" w:color="auto" w:fill="FFFFFF"/>
              </w:rPr>
              <w:lastRenderedPageBreak/>
              <w:t>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w:t>
            </w:r>
            <w:r w:rsidRPr="00BC6958">
              <w:rPr>
                <w:rFonts w:ascii="Times New Roman" w:eastAsia="Times New Roman" w:hAnsi="Times New Roman" w:cs="Times New Roman"/>
                <w:sz w:val="20"/>
                <w:szCs w:val="20"/>
                <w:lang w:eastAsia="pl-PL"/>
              </w:rPr>
              <w:lastRenderedPageBreak/>
              <w:t>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D47EBB" w:rsidP="000E1A81">
            <w:hyperlink r:id="rId82"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 xml:space="preserve">Projekt rozporządzenia Ministra Zdrowia w sprawie ogólnopolskiego kardiologiczno-kardiochirurgicznego rejestru przezcewnikowego leczenia </w:t>
            </w:r>
            <w:r w:rsidRPr="000203D7">
              <w:rPr>
                <w:rFonts w:ascii="Times New Roman" w:hAnsi="Times New Roman" w:cs="Times New Roman"/>
                <w:b w:val="0"/>
                <w:color w:val="auto"/>
                <w:sz w:val="20"/>
                <w:szCs w:val="20"/>
                <w:shd w:val="clear" w:color="auto" w:fill="FFFFFF"/>
              </w:rPr>
              <w:lastRenderedPageBreak/>
              <w:t>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w:t>
            </w:r>
            <w:r w:rsidRPr="00BC6958">
              <w:rPr>
                <w:rFonts w:ascii="Times New Roman" w:eastAsia="Times New Roman" w:hAnsi="Times New Roman" w:cs="Times New Roman"/>
                <w:sz w:val="20"/>
                <w:szCs w:val="20"/>
                <w:lang w:eastAsia="pl-PL"/>
              </w:rPr>
              <w:lastRenderedPageBreak/>
              <w:t>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D47EBB" w:rsidP="000E1A81">
            <w:hyperlink r:id="rId83"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Jedynym narzędziem umożliwiającym realizację celu projektowanej regulacji jest podjęcie inicjatywy legislacyjnej. Nie jest możliwe </w:t>
            </w:r>
            <w:r w:rsidRPr="00567EC4">
              <w:rPr>
                <w:rFonts w:ascii="Times New Roman" w:eastAsia="Times New Roman" w:hAnsi="Times New Roman" w:cs="Times New Roman"/>
                <w:sz w:val="20"/>
                <w:szCs w:val="20"/>
                <w:lang w:eastAsia="pl-PL"/>
              </w:rPr>
              <w:lastRenderedPageBreak/>
              <w:t>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84" w:history="1">
              <w:r w:rsidR="0086291E" w:rsidRPr="004D0769">
                <w:rPr>
                  <w:rStyle w:val="Hipercze"/>
                </w:rPr>
                <w:t>dep-pl@mz.gov.pl</w:t>
              </w:r>
            </w:hyperlink>
            <w:r>
              <w:t xml:space="preserve">) </w:t>
            </w:r>
          </w:p>
        </w:tc>
        <w:tc>
          <w:tcPr>
            <w:tcW w:w="1174" w:type="pct"/>
          </w:tcPr>
          <w:p w:rsidR="0047713B" w:rsidRDefault="00D47EBB" w:rsidP="000E1A81">
            <w:hyperlink r:id="rId85"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86" w:history="1">
              <w:r w:rsidRPr="004D0769">
                <w:rPr>
                  <w:rStyle w:val="Hipercze"/>
                </w:rPr>
                <w:t>sekretariat.pr@gis.gov.pl</w:t>
              </w:r>
            </w:hyperlink>
            <w:r>
              <w:t xml:space="preserve">) </w:t>
            </w:r>
          </w:p>
        </w:tc>
        <w:tc>
          <w:tcPr>
            <w:tcW w:w="1174" w:type="pct"/>
          </w:tcPr>
          <w:p w:rsidR="0054537B" w:rsidRDefault="00D47EBB" w:rsidP="000E1A81">
            <w:hyperlink r:id="rId87"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W projektowanym zarządzeniu uszczegółowiono przepis dotyczący wykonania pierwszej wizyty lub porady w dniu objęcia pacjenta opieką przez hospicjum domowe. Przedmiotowa regulacja pozwoli na finansowanie świadczenia od pierwszej wykonanej wizyty w domu </w:t>
            </w:r>
            <w:r w:rsidRPr="00C005FC">
              <w:rPr>
                <w:rFonts w:ascii="Times New Roman" w:eastAsia="Times New Roman" w:hAnsi="Times New Roman" w:cs="Times New Roman"/>
                <w:sz w:val="20"/>
                <w:szCs w:val="20"/>
                <w:lang w:eastAsia="pl-PL"/>
              </w:rPr>
              <w:lastRenderedPageBreak/>
              <w:t>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88"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D47EBB" w:rsidP="000E1A81">
            <w:hyperlink r:id="rId89"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 xml:space="preserve">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w:t>
            </w:r>
            <w:r w:rsidRPr="00DB309D">
              <w:rPr>
                <w:rFonts w:ascii="Times New Roman" w:eastAsia="Times New Roman" w:hAnsi="Times New Roman" w:cs="Times New Roman"/>
                <w:sz w:val="20"/>
                <w:szCs w:val="20"/>
                <w:lang w:eastAsia="pl-PL"/>
              </w:rPr>
              <w:lastRenderedPageBreak/>
              <w:t>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90"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D47EBB" w:rsidP="000E1A81">
            <w:hyperlink r:id="rId91"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 xml:space="preserve">w sprawie programu pilotażowego opieki nad </w:t>
            </w:r>
            <w:r w:rsidRPr="00DB309D">
              <w:rPr>
                <w:rFonts w:ascii="Times New Roman" w:hAnsi="Times New Roman" w:cs="Times New Roman"/>
                <w:b w:val="0"/>
                <w:color w:val="auto"/>
                <w:sz w:val="20"/>
                <w:szCs w:val="20"/>
                <w:shd w:val="clear" w:color="auto" w:fill="FFFFFF"/>
              </w:rPr>
              <w:lastRenderedPageBreak/>
              <w:t>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w:t>
            </w:r>
            <w:r w:rsidRPr="00DB309D">
              <w:rPr>
                <w:rFonts w:ascii="Times New Roman" w:eastAsia="Times New Roman" w:hAnsi="Times New Roman" w:cs="Times New Roman"/>
                <w:sz w:val="20"/>
                <w:szCs w:val="20"/>
                <w:lang w:eastAsia="pl-PL"/>
              </w:rPr>
              <w:lastRenderedPageBreak/>
              <w:t xml:space="preserve">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D47EBB" w:rsidP="000E1A81">
            <w:hyperlink r:id="rId92"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w:t>
            </w:r>
            <w:r w:rsidRPr="009E385E">
              <w:rPr>
                <w:rFonts w:ascii="Times New Roman" w:hAnsi="Times New Roman" w:cs="Times New Roman"/>
                <w:b w:val="0"/>
                <w:color w:val="auto"/>
                <w:sz w:val="20"/>
                <w:szCs w:val="20"/>
                <w:shd w:val="clear" w:color="auto" w:fill="FFFFFF"/>
              </w:rPr>
              <w:lastRenderedPageBreak/>
              <w:t>realizacji umów 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w:t>
            </w:r>
            <w:r w:rsidRPr="009E385E">
              <w:rPr>
                <w:rFonts w:ascii="Times New Roman" w:eastAsia="Times New Roman" w:hAnsi="Times New Roman" w:cs="Times New Roman"/>
                <w:sz w:val="20"/>
                <w:szCs w:val="20"/>
                <w:lang w:eastAsia="pl-PL"/>
              </w:rPr>
              <w:lastRenderedPageBreak/>
              <w:t xml:space="preserve">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D47EBB" w:rsidP="000E1A81">
            <w:hyperlink r:id="rId93"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D47EBB" w:rsidP="000E1A81">
            <w:hyperlink r:id="rId94"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t>
            </w:r>
            <w:r w:rsidRPr="000330D6">
              <w:rPr>
                <w:rFonts w:ascii="Times New Roman" w:eastAsia="Times New Roman" w:hAnsi="Times New Roman" w:cs="Times New Roman"/>
                <w:sz w:val="20"/>
                <w:szCs w:val="20"/>
                <w:lang w:eastAsia="pl-PL"/>
              </w:rPr>
              <w:lastRenderedPageBreak/>
              <w:t>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D47EBB" w:rsidP="000E1A81">
            <w:hyperlink r:id="rId95"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D47EBB" w:rsidP="000E1A81">
            <w:hyperlink r:id="rId96"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NARODOWEGO FUNDUSZU </w:t>
            </w:r>
            <w:r w:rsidRPr="001F65CF">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D47EBB" w:rsidP="000E1A81">
            <w:hyperlink r:id="rId97"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w:t>
            </w:r>
            <w:r w:rsidRPr="00AF4D3B">
              <w:rPr>
                <w:rFonts w:ascii="Times New Roman" w:eastAsia="Times New Roman" w:hAnsi="Times New Roman" w:cs="Times New Roman"/>
                <w:sz w:val="20"/>
                <w:szCs w:val="20"/>
                <w:lang w:eastAsia="pl-PL"/>
              </w:rPr>
              <w:lastRenderedPageBreak/>
              <w:t>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D47EBB" w:rsidP="000E1A81">
            <w:hyperlink r:id="rId98"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w:t>
            </w:r>
            <w:r w:rsidRPr="00715264">
              <w:rPr>
                <w:rFonts w:ascii="Times New Roman" w:hAnsi="Times New Roman" w:cs="Times New Roman"/>
                <w:b w:val="0"/>
                <w:color w:val="auto"/>
                <w:sz w:val="20"/>
                <w:szCs w:val="20"/>
                <w:shd w:val="clear" w:color="auto" w:fill="FFFFFF"/>
              </w:rPr>
              <w:lastRenderedPageBreak/>
              <w:t>zarządzenie w sprawie warunków zawarcia i realizacji umów o udzielanie świadczeń opieki 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w:t>
            </w:r>
            <w:r w:rsidRPr="00715264">
              <w:rPr>
                <w:rFonts w:ascii="Times New Roman" w:eastAsia="Times New Roman" w:hAnsi="Times New Roman" w:cs="Times New Roman"/>
                <w:sz w:val="20"/>
                <w:szCs w:val="20"/>
                <w:lang w:eastAsia="pl-PL"/>
              </w:rPr>
              <w:lastRenderedPageBreak/>
              <w:t xml:space="preserve">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D47EBB" w:rsidP="000E1A81">
            <w:hyperlink r:id="rId99"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szczegółowych warunków umów w systemie podstawowego szpitalnego zabezpieczenia świadczeń opieki </w:t>
            </w:r>
            <w:r w:rsidRPr="00715264">
              <w:rPr>
                <w:rFonts w:ascii="Times New Roman" w:hAnsi="Times New Roman" w:cs="Times New Roman"/>
                <w:b w:val="0"/>
                <w:color w:val="auto"/>
                <w:sz w:val="20"/>
                <w:szCs w:val="20"/>
                <w:shd w:val="clear" w:color="auto" w:fill="FFFFFF"/>
              </w:rPr>
              <w:lastRenderedPageBreak/>
              <w:t>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w:t>
            </w:r>
            <w:r w:rsidRPr="00715264">
              <w:rPr>
                <w:rFonts w:ascii="Times New Roman" w:eastAsia="Times New Roman" w:hAnsi="Times New Roman" w:cs="Times New Roman"/>
                <w:sz w:val="20"/>
                <w:szCs w:val="20"/>
                <w:lang w:eastAsia="pl-PL"/>
              </w:rPr>
              <w:lastRenderedPageBreak/>
              <w:t>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D47EBB" w:rsidP="000E1A81">
            <w:hyperlink r:id="rId100"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27 września 2021 r. w sprawie wykazu podmiotów, które przeprowadzają weryfikację wyników badań laboratoryjnych </w:t>
            </w:r>
            <w:r w:rsidRPr="00D65071">
              <w:rPr>
                <w:rFonts w:ascii="Times New Roman" w:hAnsi="Times New Roman" w:cs="Times New Roman"/>
                <w:b w:val="0"/>
                <w:color w:val="auto"/>
                <w:sz w:val="20"/>
                <w:szCs w:val="20"/>
                <w:shd w:val="clear" w:color="auto" w:fill="FFFFFF"/>
              </w:rPr>
              <w:lastRenderedPageBreak/>
              <w:t>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D47EBB" w:rsidP="000E1A81">
            <w:hyperlink r:id="rId101"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D47EBB" w:rsidP="000E1A81">
            <w:hyperlink r:id="rId102"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D47EBB" w:rsidP="000E1A81">
            <w:hyperlink r:id="rId103"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D47EBB" w:rsidP="000E1A81">
            <w:hyperlink r:id="rId104"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D47EBB" w:rsidP="000E1A81">
            <w:hyperlink r:id="rId105"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rsidR="005F3CBD" w:rsidRDefault="00D47EBB" w:rsidP="000E1A81">
            <w:hyperlink r:id="rId106"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D47EBB" w:rsidP="000E1A81">
            <w:hyperlink r:id="rId107"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27 sierpnia 2021 r. zmieniające zarządzenie w sprawie nadania </w:t>
            </w:r>
            <w:r w:rsidRPr="005F3CBD">
              <w:rPr>
                <w:rFonts w:ascii="Times New Roman" w:hAnsi="Times New Roman" w:cs="Times New Roman"/>
                <w:b w:val="0"/>
                <w:color w:val="auto"/>
                <w:sz w:val="20"/>
                <w:szCs w:val="20"/>
                <w:shd w:val="clear" w:color="auto" w:fill="FFFFFF"/>
              </w:rPr>
              <w:lastRenderedPageBreak/>
              <w:t>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D47EBB" w:rsidP="000E1A81">
            <w:hyperlink r:id="rId108"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24 sierpnia 2021 r. zmieniające zarządzenie w sprawie nadania statutu Krajowemu Ośrodkowi Psychiatrii </w:t>
            </w:r>
            <w:r w:rsidRPr="005F3CBD">
              <w:rPr>
                <w:rFonts w:ascii="Times New Roman" w:hAnsi="Times New Roman" w:cs="Times New Roman"/>
                <w:b w:val="0"/>
                <w:color w:val="auto"/>
                <w:sz w:val="20"/>
                <w:szCs w:val="20"/>
                <w:shd w:val="clear" w:color="auto" w:fill="FFFFFF"/>
              </w:rPr>
              <w:lastRenderedPageBreak/>
              <w:t>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D47EBB" w:rsidP="000E1A81">
            <w:hyperlink r:id="rId109"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 xml:space="preserve">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w:t>
            </w:r>
            <w:r w:rsidRPr="003312C1">
              <w:rPr>
                <w:rFonts w:ascii="Times New Roman" w:eastAsia="Times New Roman" w:hAnsi="Times New Roman" w:cs="Times New Roman"/>
                <w:sz w:val="20"/>
                <w:szCs w:val="20"/>
                <w:lang w:eastAsia="pl-PL"/>
              </w:rPr>
              <w:lastRenderedPageBreak/>
              <w:t>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D47EBB" w:rsidP="000E1A81">
            <w:hyperlink r:id="rId110"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rsidR="00A92460" w:rsidRDefault="00D47EBB" w:rsidP="000E1A81">
            <w:hyperlink r:id="rId111"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 xml:space="preserve">Rozporządzenie Ministra Zdrowia z dnia 27 sierpnia 2021 r. uchylające rozporządzenie w sprawie czasowego ograniczenia funkcjonowania uczelni </w:t>
            </w:r>
            <w:r w:rsidRPr="00911846">
              <w:rPr>
                <w:rFonts w:ascii="Times New Roman" w:hAnsi="Times New Roman" w:cs="Times New Roman"/>
                <w:b w:val="0"/>
                <w:color w:val="auto"/>
                <w:sz w:val="20"/>
                <w:szCs w:val="20"/>
                <w:shd w:val="clear" w:color="auto" w:fill="FFFFFF"/>
              </w:rPr>
              <w:lastRenderedPageBreak/>
              <w:t>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w:t>
            </w:r>
            <w:r w:rsidRPr="00011548">
              <w:rPr>
                <w:rFonts w:ascii="Times New Roman" w:eastAsia="Times New Roman" w:hAnsi="Times New Roman" w:cs="Times New Roman"/>
                <w:sz w:val="20"/>
                <w:szCs w:val="20"/>
                <w:lang w:eastAsia="pl-PL"/>
              </w:rPr>
              <w:lastRenderedPageBreak/>
              <w:t xml:space="preserve">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Rekomenduje się uchylenie rozporządzenia Ministra Zdrowia z dnia 16 </w:t>
            </w:r>
            <w:r w:rsidRPr="00011548">
              <w:rPr>
                <w:rFonts w:ascii="Times New Roman" w:eastAsia="Times New Roman" w:hAnsi="Times New Roman" w:cs="Times New Roman"/>
                <w:sz w:val="20"/>
                <w:szCs w:val="20"/>
                <w:lang w:eastAsia="pl-PL"/>
              </w:rPr>
              <w:lastRenderedPageBreak/>
              <w:t>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D47EBB" w:rsidP="000E1A81">
            <w:hyperlink r:id="rId112"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osoby zatrudnione w jednostce organizacyjnej pomocy społecznej w rozumieniu art. 6 pkt 5 ustawy z dnia 12 marca 2004 r. o pomocy społecznej lub w placówce zapewniającej całodobową opiekę osobom </w:t>
            </w:r>
            <w:r w:rsidRPr="00B77D39">
              <w:rPr>
                <w:rFonts w:ascii="Times New Roman" w:eastAsia="Times New Roman" w:hAnsi="Times New Roman" w:cs="Times New Roman"/>
                <w:sz w:val="20"/>
                <w:szCs w:val="20"/>
                <w:lang w:eastAsia="pl-PL"/>
              </w:rPr>
              <w:lastRenderedPageBreak/>
              <w:t>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w:t>
            </w:r>
            <w:r w:rsidRPr="00B77D39">
              <w:rPr>
                <w:rFonts w:ascii="Times New Roman" w:eastAsia="Times New Roman" w:hAnsi="Times New Roman" w:cs="Times New Roman"/>
                <w:sz w:val="20"/>
                <w:szCs w:val="20"/>
                <w:lang w:eastAsia="pl-PL"/>
              </w:rPr>
              <w:lastRenderedPageBreak/>
              <w:t>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D47EBB" w:rsidP="000E1A81">
            <w:hyperlink r:id="rId113"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lastRenderedPageBreak/>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1) ustawę z dnia 8 września 2006 r. o Państwowym Ratownictwie Medycznym oraz ustawę z dnia 21 lutego 2019 r. o zmianie ustawy o świadczeniach opieki zdrowotnej finansowanych ze środków </w:t>
            </w:r>
            <w:r w:rsidRPr="00CC3A44">
              <w:rPr>
                <w:rFonts w:ascii="Times New Roman" w:eastAsia="Times New Roman" w:hAnsi="Times New Roman" w:cs="Times New Roman"/>
                <w:sz w:val="20"/>
                <w:szCs w:val="20"/>
                <w:lang w:eastAsia="pl-PL"/>
              </w:rPr>
              <w:lastRenderedPageBreak/>
              <w:t>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w:t>
            </w:r>
            <w:r w:rsidRPr="0045122D">
              <w:rPr>
                <w:rFonts w:ascii="Times New Roman" w:eastAsia="Times New Roman" w:hAnsi="Times New Roman" w:cs="Times New Roman"/>
                <w:sz w:val="20"/>
                <w:szCs w:val="20"/>
                <w:lang w:eastAsia="pl-PL"/>
              </w:rPr>
              <w:lastRenderedPageBreak/>
              <w:t>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września 2021 r.</w:t>
            </w:r>
          </w:p>
        </w:tc>
        <w:tc>
          <w:tcPr>
            <w:tcW w:w="1174" w:type="pct"/>
          </w:tcPr>
          <w:p w:rsidR="0045122D" w:rsidRDefault="00D47EBB" w:rsidP="000E1A81">
            <w:hyperlink r:id="rId114" w:anchor="12818482" w:history="1">
              <w:r w:rsidR="0045122D">
                <w:rPr>
                  <w:rStyle w:val="Hipercze"/>
                </w:rPr>
                <w:t>Projekt (legislacja.gov.pl)</w:t>
              </w:r>
            </w:hyperlink>
          </w:p>
        </w:tc>
      </w:tr>
      <w:tr w:rsidR="005C7BD2" w:rsidTr="00A506D2">
        <w:tc>
          <w:tcPr>
            <w:tcW w:w="352" w:type="pct"/>
          </w:tcPr>
          <w:p w:rsidR="005C7BD2" w:rsidRDefault="00D8542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C7BD2" w:rsidRDefault="00D85424"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C7BD2" w:rsidRPr="005C7BD2" w:rsidRDefault="00D85424" w:rsidP="00B32B4D">
            <w:pPr>
              <w:pStyle w:val="Nagwek1"/>
              <w:outlineLvl w:val="0"/>
              <w:rPr>
                <w:rFonts w:ascii="Times New Roman" w:hAnsi="Times New Roman" w:cs="Times New Roman"/>
                <w:b w:val="0"/>
                <w:color w:val="auto"/>
                <w:sz w:val="20"/>
                <w:szCs w:val="20"/>
                <w:shd w:val="clear" w:color="auto" w:fill="FFFFFF"/>
              </w:rPr>
            </w:pPr>
            <w:r w:rsidRPr="00D85424">
              <w:rPr>
                <w:rFonts w:ascii="Times New Roman" w:hAnsi="Times New Roman" w:cs="Times New Roman"/>
                <w:b w:val="0"/>
                <w:color w:val="auto"/>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5424" w:rsidRPr="00D85424"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C7BD2"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5424" w:rsidRPr="00D85424"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p>
          <w:p w:rsidR="00D85424" w:rsidRPr="00D85424" w:rsidRDefault="00D85424" w:rsidP="00D854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5424" w:rsidRPr="005C7BD2"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 xml:space="preserve">przedłużenie możliwości wypłaty świadczeniodawcom zaliczek tzw. 1/12 kwoty zobowiązania określonej w umowie o udzielanie świadczeń </w:t>
            </w:r>
            <w:r w:rsidRPr="00D85424">
              <w:rPr>
                <w:rFonts w:ascii="Times New Roman" w:eastAsia="Times New Roman" w:hAnsi="Times New Roman" w:cs="Times New Roman"/>
                <w:sz w:val="20"/>
                <w:szCs w:val="20"/>
                <w:lang w:eastAsia="pl-PL"/>
              </w:rPr>
              <w:lastRenderedPageBreak/>
              <w:t>opieki zdrowotnej w IV kwartale 2021 r.</w:t>
            </w:r>
          </w:p>
        </w:tc>
        <w:tc>
          <w:tcPr>
            <w:tcW w:w="448" w:type="pct"/>
          </w:tcPr>
          <w:p w:rsidR="005C7BD2" w:rsidRDefault="00D8542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4 października 2021 r. (</w:t>
            </w:r>
            <w:hyperlink r:id="rId115" w:history="1">
              <w:r w:rsidRPr="005D3C52">
                <w:rPr>
                  <w:rStyle w:val="Hipercze"/>
                </w:rPr>
                <w:t>k.makowiecka@mz.gov.pl</w:t>
              </w:r>
            </w:hyperlink>
            <w:r>
              <w:t xml:space="preserve">) </w:t>
            </w:r>
          </w:p>
        </w:tc>
        <w:tc>
          <w:tcPr>
            <w:tcW w:w="1174" w:type="pct"/>
          </w:tcPr>
          <w:p w:rsidR="005C7BD2" w:rsidRDefault="00D47EBB" w:rsidP="000E1A81">
            <w:hyperlink r:id="rId116" w:history="1">
              <w:r w:rsidR="00D85424">
                <w:rPr>
                  <w:rStyle w:val="Hipercze"/>
                </w:rPr>
                <w:t>Akt prawny (legislacja.gov.pl)</w:t>
              </w:r>
            </w:hyperlink>
            <w:r w:rsidR="00D85424">
              <w:t xml:space="preserve"> </w:t>
            </w:r>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rsidR="008F04BF" w:rsidRDefault="00D47EBB" w:rsidP="000E1A81">
            <w:hyperlink r:id="rId117"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 xml:space="preserve">Projekt rozporządzenia Ministra Zdrowia zmieniającego rozporządzenie w sprawie sposobu i procedur przygotowania </w:t>
            </w:r>
            <w:r w:rsidRPr="008F04BF">
              <w:rPr>
                <w:rFonts w:ascii="Times New Roman" w:hAnsi="Times New Roman" w:cs="Times New Roman"/>
                <w:b w:val="0"/>
                <w:color w:val="auto"/>
                <w:sz w:val="20"/>
                <w:szCs w:val="20"/>
                <w:shd w:val="clear" w:color="auto" w:fill="FFFFFF"/>
              </w:rPr>
              <w:lastRenderedPageBreak/>
              <w:t>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lastRenderedPageBreak/>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w:t>
            </w:r>
            <w:r w:rsidRPr="008F04BF">
              <w:rPr>
                <w:rFonts w:ascii="Times New Roman" w:eastAsia="Times New Roman" w:hAnsi="Times New Roman" w:cs="Times New Roman"/>
                <w:sz w:val="20"/>
                <w:szCs w:val="20"/>
                <w:lang w:eastAsia="pl-PL"/>
              </w:rPr>
              <w:lastRenderedPageBreak/>
              <w:t xml:space="preserve">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D47EBB" w:rsidP="000E1A81">
            <w:pPr>
              <w:rPr>
                <w:b/>
              </w:rPr>
            </w:pPr>
            <w:hyperlink r:id="rId118"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15 października 2021 r.</w:t>
            </w:r>
          </w:p>
        </w:tc>
        <w:tc>
          <w:tcPr>
            <w:tcW w:w="1174" w:type="pct"/>
          </w:tcPr>
          <w:p w:rsidR="00DA5215" w:rsidRDefault="00D47EBB" w:rsidP="000E1A81">
            <w:hyperlink r:id="rId119"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 xml:space="preserve">Projekt ustawy o zmianie ustawy - Prawo o szkolnictwie wyższym i nauce oraz </w:t>
            </w:r>
            <w:r w:rsidRPr="00DC5468">
              <w:rPr>
                <w:rFonts w:ascii="Times New Roman" w:hAnsi="Times New Roman" w:cs="Times New Roman"/>
                <w:b w:val="0"/>
                <w:color w:val="auto"/>
                <w:sz w:val="20"/>
                <w:szCs w:val="20"/>
                <w:shd w:val="clear" w:color="auto" w:fill="FFFFFF"/>
              </w:rPr>
              <w:lastRenderedPageBreak/>
              <w:t>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w:t>
            </w:r>
            <w:r w:rsidRPr="00DC5468">
              <w:rPr>
                <w:rFonts w:ascii="Times New Roman" w:eastAsia="Times New Roman" w:hAnsi="Times New Roman" w:cs="Times New Roman"/>
                <w:sz w:val="20"/>
                <w:szCs w:val="20"/>
                <w:lang w:eastAsia="pl-PL"/>
              </w:rPr>
              <w:lastRenderedPageBreak/>
              <w:t>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t>
            </w:r>
            <w:r w:rsidRPr="00DC5468">
              <w:rPr>
                <w:rFonts w:ascii="Times New Roman" w:eastAsia="Times New Roman" w:hAnsi="Times New Roman" w:cs="Times New Roman"/>
                <w:sz w:val="20"/>
                <w:szCs w:val="20"/>
                <w:lang w:eastAsia="pl-PL"/>
              </w:rPr>
              <w:lastRenderedPageBreak/>
              <w:t>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lastRenderedPageBreak/>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w:t>
            </w:r>
            <w:r w:rsidRPr="00DC5468">
              <w:rPr>
                <w:rFonts w:ascii="Times New Roman" w:eastAsia="Times New Roman" w:hAnsi="Times New Roman" w:cs="Times New Roman"/>
                <w:sz w:val="20"/>
                <w:szCs w:val="20"/>
                <w:lang w:eastAsia="pl-PL"/>
              </w:rPr>
              <w:lastRenderedPageBreak/>
              <w:t xml:space="preserve">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w:t>
            </w:r>
            <w:r w:rsidRPr="00DC5468">
              <w:rPr>
                <w:rFonts w:ascii="Times New Roman" w:eastAsia="Times New Roman" w:hAnsi="Times New Roman" w:cs="Times New Roman"/>
                <w:sz w:val="20"/>
                <w:szCs w:val="20"/>
                <w:lang w:eastAsia="pl-PL"/>
              </w:rPr>
              <w:lastRenderedPageBreak/>
              <w:t xml:space="preserve">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w:t>
            </w:r>
            <w:r w:rsidRPr="00DC5468">
              <w:rPr>
                <w:rFonts w:ascii="Times New Roman" w:eastAsia="Times New Roman" w:hAnsi="Times New Roman" w:cs="Times New Roman"/>
                <w:sz w:val="20"/>
                <w:szCs w:val="20"/>
                <w:lang w:eastAsia="pl-PL"/>
              </w:rPr>
              <w:lastRenderedPageBreak/>
              <w:t>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w:t>
            </w:r>
            <w:r w:rsidRPr="00DC5468">
              <w:rPr>
                <w:rFonts w:ascii="Times New Roman" w:eastAsia="Times New Roman" w:hAnsi="Times New Roman" w:cs="Times New Roman"/>
                <w:sz w:val="20"/>
                <w:szCs w:val="20"/>
                <w:lang w:eastAsia="pl-PL"/>
              </w:rPr>
              <w:lastRenderedPageBreak/>
              <w:t xml:space="preserve">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w:t>
            </w:r>
            <w:r w:rsidRPr="00DC5468">
              <w:rPr>
                <w:rFonts w:ascii="Times New Roman" w:eastAsia="Times New Roman" w:hAnsi="Times New Roman" w:cs="Times New Roman"/>
                <w:sz w:val="20"/>
                <w:szCs w:val="20"/>
                <w:lang w:eastAsia="pl-PL"/>
              </w:rPr>
              <w:lastRenderedPageBreak/>
              <w:t xml:space="preserve">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t>
            </w:r>
            <w:r w:rsidRPr="00DC5468">
              <w:rPr>
                <w:rFonts w:ascii="Times New Roman" w:eastAsia="Times New Roman" w:hAnsi="Times New Roman" w:cs="Times New Roman"/>
                <w:sz w:val="20"/>
                <w:szCs w:val="20"/>
                <w:lang w:eastAsia="pl-PL"/>
              </w:rPr>
              <w:lastRenderedPageBreak/>
              <w:t>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D47EBB" w:rsidP="000E1A81">
            <w:hyperlink r:id="rId120"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 xml:space="preserve">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w:t>
            </w:r>
            <w:r w:rsidRPr="00E60205">
              <w:rPr>
                <w:rFonts w:ascii="Times New Roman" w:eastAsia="Times New Roman" w:hAnsi="Times New Roman" w:cs="Times New Roman"/>
                <w:sz w:val="20"/>
                <w:szCs w:val="20"/>
                <w:lang w:eastAsia="pl-PL"/>
              </w:rPr>
              <w:lastRenderedPageBreak/>
              <w:t>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21" w:history="1">
              <w:r w:rsidRPr="005D3C52">
                <w:rPr>
                  <w:rStyle w:val="Hipercze"/>
                </w:rPr>
                <w:t>m.cichowska@mz.gov.pl</w:t>
              </w:r>
            </w:hyperlink>
            <w:r>
              <w:t xml:space="preserve">) </w:t>
            </w:r>
          </w:p>
        </w:tc>
        <w:tc>
          <w:tcPr>
            <w:tcW w:w="1174" w:type="pct"/>
          </w:tcPr>
          <w:p w:rsidR="009D4860" w:rsidRDefault="00D47EBB" w:rsidP="000E1A81">
            <w:hyperlink r:id="rId122"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Projekt rozporządzenia 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123" w:history="1">
              <w:r w:rsidRPr="005D3C52">
                <w:rPr>
                  <w:rStyle w:val="Hipercze"/>
                </w:rPr>
                <w:t>dep-zp@mz.gov.pl</w:t>
              </w:r>
            </w:hyperlink>
            <w:r>
              <w:t xml:space="preserve">) </w:t>
            </w:r>
          </w:p>
        </w:tc>
        <w:tc>
          <w:tcPr>
            <w:tcW w:w="1174" w:type="pct"/>
          </w:tcPr>
          <w:p w:rsidR="003244EF" w:rsidRDefault="00D47EBB" w:rsidP="000E1A81">
            <w:hyperlink r:id="rId124"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w:t>
            </w:r>
            <w:r w:rsidRPr="00D720A8">
              <w:rPr>
                <w:rFonts w:ascii="Times New Roman" w:eastAsia="Times New Roman" w:hAnsi="Times New Roman" w:cs="Times New Roman"/>
                <w:sz w:val="20"/>
                <w:szCs w:val="20"/>
                <w:lang w:eastAsia="pl-PL"/>
              </w:rPr>
              <w:lastRenderedPageBreak/>
              <w:t xml:space="preserve">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z używaniem nowych substancji psychoaktywnych, rozszerzono wykaz </w:t>
            </w:r>
            <w:r w:rsidRPr="00D720A8">
              <w:rPr>
                <w:rFonts w:ascii="Times New Roman" w:eastAsia="Times New Roman" w:hAnsi="Times New Roman" w:cs="Times New Roman"/>
                <w:sz w:val="20"/>
                <w:szCs w:val="20"/>
                <w:lang w:eastAsia="pl-PL"/>
              </w:rPr>
              <w:lastRenderedPageBreak/>
              <w:t>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25" w:history="1">
              <w:r w:rsidRPr="005D3C52">
                <w:rPr>
                  <w:rStyle w:val="Hipercze"/>
                </w:rPr>
                <w:t>sekretariat.pr@gis.gov.pl</w:t>
              </w:r>
            </w:hyperlink>
            <w:r>
              <w:t xml:space="preserve">) </w:t>
            </w:r>
          </w:p>
        </w:tc>
        <w:tc>
          <w:tcPr>
            <w:tcW w:w="1174" w:type="pct"/>
          </w:tcPr>
          <w:p w:rsidR="004E13BD" w:rsidRPr="004E13BD" w:rsidRDefault="00D47EBB" w:rsidP="000E1A81">
            <w:hyperlink r:id="rId126"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w:t>
            </w:r>
            <w:r w:rsidRPr="00B77D39">
              <w:rPr>
                <w:rFonts w:ascii="Times New Roman" w:eastAsia="Times New Roman" w:hAnsi="Times New Roman" w:cs="Times New Roman"/>
                <w:sz w:val="20"/>
                <w:szCs w:val="20"/>
                <w:lang w:eastAsia="pl-PL"/>
              </w:rPr>
              <w:lastRenderedPageBreak/>
              <w:t>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127" w:history="1">
              <w:r w:rsidR="00B32B4D" w:rsidRPr="005D3C52">
                <w:rPr>
                  <w:rStyle w:val="Hipercze"/>
                </w:rPr>
                <w:t>sekretariat.pr@gis.gov.pl</w:t>
              </w:r>
            </w:hyperlink>
            <w:r w:rsidR="00B32B4D">
              <w:t xml:space="preserve">) </w:t>
            </w:r>
          </w:p>
        </w:tc>
        <w:tc>
          <w:tcPr>
            <w:tcW w:w="1174" w:type="pct"/>
          </w:tcPr>
          <w:p w:rsidR="00B77D39" w:rsidRDefault="00D47EBB" w:rsidP="000E1A81">
            <w:hyperlink r:id="rId128"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29" w:history="1">
              <w:r w:rsidRPr="005D3C52">
                <w:rPr>
                  <w:rStyle w:val="Hipercze"/>
                </w:rPr>
                <w:t>dep-di@mz.gov.pl</w:t>
              </w:r>
            </w:hyperlink>
            <w:r>
              <w:t xml:space="preserve">) </w:t>
            </w:r>
          </w:p>
        </w:tc>
        <w:tc>
          <w:tcPr>
            <w:tcW w:w="1174" w:type="pct"/>
          </w:tcPr>
          <w:p w:rsidR="003312C1" w:rsidRDefault="00D47EBB" w:rsidP="000E1A81">
            <w:hyperlink r:id="rId130"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Zdrowia w sprawie szczegółowego wzoru zamówienia indywidualnego na produkty krwiopochodne, rekombinowane koncentraty czynników </w:t>
            </w:r>
            <w:r w:rsidRPr="0077353D">
              <w:rPr>
                <w:rFonts w:ascii="Times New Roman" w:hAnsi="Times New Roman" w:cs="Times New Roman"/>
                <w:b w:val="0"/>
                <w:color w:val="auto"/>
                <w:sz w:val="20"/>
                <w:szCs w:val="20"/>
                <w:shd w:val="clear" w:color="auto" w:fill="FFFFFF"/>
              </w:rPr>
              <w:lastRenderedPageBreak/>
              <w:t>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t>
            </w:r>
            <w:r w:rsidRPr="00011548">
              <w:rPr>
                <w:rFonts w:ascii="Times New Roman" w:eastAsia="Times New Roman" w:hAnsi="Times New Roman" w:cs="Times New Roman"/>
                <w:sz w:val="20"/>
                <w:szCs w:val="20"/>
                <w:lang w:eastAsia="pl-PL"/>
              </w:rPr>
              <w:lastRenderedPageBreak/>
              <w:t>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sierpnia 2021 r.</w:t>
            </w:r>
          </w:p>
        </w:tc>
        <w:tc>
          <w:tcPr>
            <w:tcW w:w="1174" w:type="pct"/>
          </w:tcPr>
          <w:p w:rsidR="0077353D" w:rsidRDefault="00D47EBB" w:rsidP="000E1A81">
            <w:hyperlink r:id="rId131"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D47EBB" w:rsidP="000E1A81">
            <w:hyperlink r:id="rId132"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D47EBB" w:rsidP="000E1A81">
            <w:hyperlink r:id="rId133"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D47EBB" w:rsidP="000E1A81">
            <w:hyperlink r:id="rId134"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D47EBB" w:rsidP="000E1A81">
            <w:hyperlink r:id="rId135"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D47EBB" w:rsidP="000E1A81">
            <w:hyperlink r:id="rId136"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D47EBB" w:rsidP="000E1A81">
            <w:hyperlink r:id="rId137"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Zespołu do spraw opracowania zmian organizacyjnych w zakresie współpracy Narodowego </w:t>
            </w:r>
            <w:r w:rsidRPr="00282CD2">
              <w:rPr>
                <w:rFonts w:ascii="Times New Roman" w:hAnsi="Times New Roman" w:cs="Times New Roman"/>
                <w:b w:val="0"/>
                <w:color w:val="auto"/>
                <w:sz w:val="20"/>
                <w:szCs w:val="20"/>
                <w:shd w:val="clear" w:color="auto" w:fill="FFFFFF"/>
              </w:rPr>
              <w:lastRenderedPageBreak/>
              <w:t>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D47EBB" w:rsidP="000E1A81">
            <w:hyperlink r:id="rId138"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D47EBB" w:rsidP="000E1A81">
            <w:hyperlink r:id="rId139"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w:t>
            </w:r>
            <w:r w:rsidRPr="00282CD2">
              <w:rPr>
                <w:rFonts w:ascii="Times New Roman" w:eastAsia="Times New Roman" w:hAnsi="Times New Roman" w:cs="Times New Roman"/>
                <w:sz w:val="20"/>
                <w:szCs w:val="20"/>
                <w:lang w:eastAsia="pl-PL"/>
              </w:rPr>
              <w:lastRenderedPageBreak/>
              <w:t>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40" w:history="1">
              <w:r w:rsidRPr="00EA3930">
                <w:rPr>
                  <w:rStyle w:val="Hipercze"/>
                </w:rPr>
                <w:t>dp@urpl.gov.pl</w:t>
              </w:r>
            </w:hyperlink>
            <w:r>
              <w:t>)</w:t>
            </w:r>
          </w:p>
        </w:tc>
        <w:tc>
          <w:tcPr>
            <w:tcW w:w="1174" w:type="pct"/>
          </w:tcPr>
          <w:p w:rsidR="00282CD2" w:rsidRDefault="00D47EBB" w:rsidP="000E1A81">
            <w:hyperlink r:id="rId141"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lastRenderedPageBreak/>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42" w:history="1">
              <w:r w:rsidRPr="00EA3930">
                <w:rPr>
                  <w:rStyle w:val="Hipercze"/>
                </w:rPr>
                <w:t>uwagi.swiadczenia.gwarantowane@mz.gov.pl</w:t>
              </w:r>
            </w:hyperlink>
            <w:r>
              <w:t>)</w:t>
            </w:r>
          </w:p>
        </w:tc>
        <w:tc>
          <w:tcPr>
            <w:tcW w:w="1174" w:type="pct"/>
          </w:tcPr>
          <w:p w:rsidR="00282CD2" w:rsidRDefault="00D47EBB" w:rsidP="000E1A81">
            <w:hyperlink r:id="rId143"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powołania Zespołu do Spraw Fałszowania i Nielegalnego Obrotu Produktami Leczniczymi </w:t>
            </w:r>
            <w:r w:rsidRPr="00FB336F">
              <w:rPr>
                <w:rFonts w:ascii="Times New Roman" w:hAnsi="Times New Roman" w:cs="Times New Roman"/>
                <w:b w:val="0"/>
                <w:color w:val="auto"/>
                <w:sz w:val="20"/>
                <w:szCs w:val="20"/>
                <w:shd w:val="clear" w:color="auto" w:fill="FFFFFF"/>
              </w:rPr>
              <w:lastRenderedPageBreak/>
              <w:t>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D47EBB" w:rsidP="000E1A81">
            <w:hyperlink r:id="rId144"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45" w:history="1">
              <w:r w:rsidRPr="00CD331F">
                <w:rPr>
                  <w:rStyle w:val="Hipercze"/>
                </w:rPr>
                <w:t>dep-zp@mz.gov.pl</w:t>
              </w:r>
            </w:hyperlink>
            <w:r>
              <w:t>)</w:t>
            </w:r>
          </w:p>
        </w:tc>
        <w:tc>
          <w:tcPr>
            <w:tcW w:w="1174" w:type="pct"/>
          </w:tcPr>
          <w:p w:rsidR="00FB336F" w:rsidRDefault="00D47EBB" w:rsidP="000E1A81">
            <w:hyperlink r:id="rId146"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D47EBB" w:rsidP="000E1A81">
            <w:hyperlink r:id="rId147"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D47EBB" w:rsidP="000E1A81">
            <w:hyperlink r:id="rId148"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49" w:history="1">
              <w:r w:rsidRPr="00CD331F">
                <w:rPr>
                  <w:rStyle w:val="Hipercze"/>
                </w:rPr>
                <w:t>dep-zp@mz.gov.pl</w:t>
              </w:r>
            </w:hyperlink>
            <w:r>
              <w:t>)</w:t>
            </w:r>
          </w:p>
        </w:tc>
        <w:tc>
          <w:tcPr>
            <w:tcW w:w="1174" w:type="pct"/>
          </w:tcPr>
          <w:p w:rsidR="00F024DA" w:rsidRDefault="00D47EBB" w:rsidP="000E1A81">
            <w:hyperlink r:id="rId150"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D47EBB" w:rsidP="000E1A81">
            <w:hyperlink r:id="rId151"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w:t>
            </w:r>
            <w:r w:rsidRPr="00F73B45">
              <w:rPr>
                <w:rFonts w:ascii="Times New Roman" w:eastAsia="Times New Roman" w:hAnsi="Times New Roman" w:cs="Times New Roman"/>
                <w:sz w:val="20"/>
                <w:szCs w:val="20"/>
                <w:lang w:eastAsia="pl-PL"/>
              </w:rPr>
              <w:lastRenderedPageBreak/>
              <w:t>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D47EBB" w:rsidP="000E1A81">
            <w:hyperlink r:id="rId152"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Default="00D47EBB" w:rsidP="000E1A81">
            <w:hyperlink r:id="rId153"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Pr="00F73B45" w:rsidRDefault="00D47EBB" w:rsidP="000E1A81">
            <w:pPr>
              <w:rPr>
                <w:rFonts w:ascii="Times New Roman" w:hAnsi="Times New Roman" w:cs="Times New Roman"/>
                <w:sz w:val="20"/>
                <w:szCs w:val="20"/>
              </w:rPr>
            </w:pPr>
            <w:hyperlink r:id="rId154"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w:t>
            </w:r>
            <w:r w:rsidRPr="00F73B45">
              <w:rPr>
                <w:rFonts w:ascii="Times New Roman" w:hAnsi="Times New Roman" w:cs="Times New Roman"/>
                <w:b w:val="0"/>
                <w:color w:val="auto"/>
                <w:sz w:val="20"/>
                <w:szCs w:val="20"/>
                <w:shd w:val="clear" w:color="auto" w:fill="FFFFFF"/>
              </w:rPr>
              <w:lastRenderedPageBreak/>
              <w:t>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D47EBB" w:rsidP="000E1A81">
            <w:pPr>
              <w:rPr>
                <w:rFonts w:ascii="Times New Roman" w:hAnsi="Times New Roman" w:cs="Times New Roman"/>
                <w:sz w:val="20"/>
                <w:szCs w:val="20"/>
              </w:rPr>
            </w:pPr>
            <w:hyperlink r:id="rId155"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 xml:space="preserve">Posiedzenie Sejmu w dniu 11 sierpnia 2021 r. – wniosek o uzupełnienie porządku obrad w sprawie pierwszego </w:t>
            </w:r>
            <w:r w:rsidRPr="00F73B45">
              <w:rPr>
                <w:rFonts w:ascii="Times New Roman" w:hAnsi="Times New Roman" w:cs="Times New Roman"/>
                <w:sz w:val="20"/>
                <w:szCs w:val="20"/>
              </w:rPr>
              <w:lastRenderedPageBreak/>
              <w:t>czytania projektu</w:t>
            </w:r>
          </w:p>
        </w:tc>
        <w:tc>
          <w:tcPr>
            <w:tcW w:w="1174" w:type="pct"/>
          </w:tcPr>
          <w:p w:rsidR="00FF4AF3" w:rsidRPr="00F73B45" w:rsidRDefault="00D47EBB" w:rsidP="000E1A81">
            <w:pPr>
              <w:rPr>
                <w:rFonts w:ascii="Times New Roman" w:hAnsi="Times New Roman" w:cs="Times New Roman"/>
                <w:sz w:val="20"/>
                <w:szCs w:val="20"/>
              </w:rPr>
            </w:pPr>
            <w:hyperlink r:id="rId156"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D47EBB" w:rsidP="000E1A81">
            <w:pPr>
              <w:rPr>
                <w:rFonts w:ascii="Times New Roman" w:hAnsi="Times New Roman" w:cs="Times New Roman"/>
                <w:sz w:val="20"/>
                <w:szCs w:val="20"/>
              </w:rPr>
            </w:pPr>
            <w:hyperlink r:id="rId157"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D47EBB" w:rsidP="000E1A81">
            <w:pPr>
              <w:rPr>
                <w:rFonts w:ascii="Times New Roman" w:hAnsi="Times New Roman" w:cs="Times New Roman"/>
                <w:sz w:val="20"/>
                <w:szCs w:val="20"/>
              </w:rPr>
            </w:pPr>
            <w:hyperlink r:id="rId158"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zmieniające rozporządzenie w sprawie świadczeń gwarantowanych z zakresu leczenia </w:t>
            </w:r>
            <w:r w:rsidRPr="00F73B45">
              <w:rPr>
                <w:rFonts w:ascii="Times New Roman" w:hAnsi="Times New Roman" w:cs="Times New Roman"/>
                <w:b w:val="0"/>
                <w:color w:val="auto"/>
                <w:sz w:val="20"/>
                <w:szCs w:val="20"/>
                <w:shd w:val="clear" w:color="auto" w:fill="FFFFFF"/>
              </w:rPr>
              <w:lastRenderedPageBreak/>
              <w:t>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D47EBB" w:rsidP="000E1A81">
            <w:pPr>
              <w:rPr>
                <w:rFonts w:ascii="Times New Roman" w:hAnsi="Times New Roman" w:cs="Times New Roman"/>
                <w:sz w:val="20"/>
                <w:szCs w:val="20"/>
              </w:rPr>
            </w:pPr>
            <w:hyperlink r:id="rId159"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rsidR="00FF4AF3" w:rsidRPr="00F73B45" w:rsidRDefault="00D47EBB" w:rsidP="000E1A81">
            <w:pPr>
              <w:rPr>
                <w:rFonts w:ascii="Times New Roman" w:hAnsi="Times New Roman" w:cs="Times New Roman"/>
                <w:sz w:val="20"/>
                <w:szCs w:val="20"/>
              </w:rPr>
            </w:pPr>
            <w:hyperlink r:id="rId160"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Samo przeprowadzenie szczepienia polega na podaniu szczepionki w </w:t>
            </w:r>
            <w:r w:rsidRPr="00F73B45">
              <w:rPr>
                <w:rFonts w:ascii="Times New Roman" w:eastAsia="Times New Roman" w:hAnsi="Times New Roman" w:cs="Times New Roman"/>
                <w:sz w:val="20"/>
                <w:szCs w:val="20"/>
                <w:lang w:eastAsia="pl-PL"/>
              </w:rPr>
              <w:lastRenderedPageBreak/>
              <w:t>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161"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D47EBB" w:rsidP="000E1A81">
            <w:pPr>
              <w:rPr>
                <w:rFonts w:ascii="Times New Roman" w:hAnsi="Times New Roman" w:cs="Times New Roman"/>
                <w:sz w:val="20"/>
                <w:szCs w:val="20"/>
              </w:rPr>
            </w:pPr>
            <w:hyperlink r:id="rId162"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Narodowego Funduszu Zdrowia w sprawie określenia </w:t>
            </w:r>
            <w:r w:rsidRPr="00F73B45">
              <w:rPr>
                <w:rFonts w:ascii="Times New Roman" w:hAnsi="Times New Roman" w:cs="Times New Roman"/>
                <w:b w:val="0"/>
                <w:color w:val="auto"/>
                <w:sz w:val="20"/>
                <w:szCs w:val="20"/>
                <w:shd w:val="clear" w:color="auto" w:fill="FFFFFF"/>
              </w:rPr>
              <w:lastRenderedPageBreak/>
              <w:t>warunków zawierania i realizacji umów w rodzaju leczenie szpitalne oraz leczenie szpitalne – 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D47EBB" w:rsidP="000E1A81">
            <w:pPr>
              <w:rPr>
                <w:rFonts w:ascii="Times New Roman" w:hAnsi="Times New Roman" w:cs="Times New Roman"/>
                <w:sz w:val="20"/>
                <w:szCs w:val="20"/>
              </w:rPr>
            </w:pPr>
            <w:hyperlink r:id="rId163"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D47EBB" w:rsidP="000E1A81">
            <w:pPr>
              <w:rPr>
                <w:rFonts w:ascii="Times New Roman" w:hAnsi="Times New Roman" w:cs="Times New Roman"/>
                <w:sz w:val="20"/>
                <w:szCs w:val="20"/>
              </w:rPr>
            </w:pPr>
            <w:hyperlink r:id="rId164"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projekcie rozporządzenia doprecyzowano także, zgodnie z wymaganiami zawartymi w dokumencie doradczym przygotowanym przez Grupę Roboczą OECD do spraw Dobrej Praktyki Laboratoryjnej </w:t>
            </w:r>
            <w:r w:rsidRPr="00F73B45">
              <w:rPr>
                <w:rFonts w:ascii="Times New Roman" w:eastAsia="Times New Roman" w:hAnsi="Times New Roman" w:cs="Times New Roman"/>
                <w:sz w:val="20"/>
                <w:szCs w:val="20"/>
                <w:lang w:eastAsia="pl-PL"/>
              </w:rPr>
              <w:lastRenderedPageBreak/>
              <w:t>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19 sierpnia 2021 r.</w:t>
            </w:r>
          </w:p>
        </w:tc>
        <w:tc>
          <w:tcPr>
            <w:tcW w:w="1174" w:type="pct"/>
          </w:tcPr>
          <w:p w:rsidR="00FF4AF3" w:rsidRPr="00F73B45" w:rsidRDefault="00D47EBB" w:rsidP="000E1A81">
            <w:pPr>
              <w:rPr>
                <w:rFonts w:ascii="Times New Roman" w:hAnsi="Times New Roman" w:cs="Times New Roman"/>
                <w:sz w:val="20"/>
                <w:szCs w:val="20"/>
              </w:rPr>
            </w:pPr>
            <w:hyperlink r:id="rId165"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D47EBB" w:rsidP="000E1A81">
            <w:pPr>
              <w:rPr>
                <w:rFonts w:ascii="Times New Roman" w:hAnsi="Times New Roman" w:cs="Times New Roman"/>
                <w:sz w:val="20"/>
                <w:szCs w:val="20"/>
              </w:rPr>
            </w:pPr>
            <w:hyperlink r:id="rId166"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D47EBB" w:rsidP="000E1A81">
            <w:pPr>
              <w:rPr>
                <w:rFonts w:ascii="Times New Roman" w:hAnsi="Times New Roman" w:cs="Times New Roman"/>
                <w:sz w:val="20"/>
                <w:szCs w:val="20"/>
              </w:rPr>
            </w:pPr>
            <w:hyperlink r:id="rId167"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D47EBB" w:rsidP="000E1A81">
            <w:pPr>
              <w:rPr>
                <w:rFonts w:ascii="Times New Roman" w:hAnsi="Times New Roman" w:cs="Times New Roman"/>
                <w:sz w:val="20"/>
                <w:szCs w:val="20"/>
              </w:rPr>
            </w:pPr>
            <w:hyperlink r:id="rId168"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138/2021/DSOZ PREZESA NARODOWEGO FUNDUSZU ZDROWIA z dnia 02.08.2021 r. zmieniające zarządzenie w sprawie określenia warunków zawierania i realizacji umów w rodzajach rehabilitacja lecznicza oraz programy zdrowotne w zakresie </w:t>
            </w:r>
            <w:r w:rsidRPr="00F73B45">
              <w:rPr>
                <w:rFonts w:ascii="Times New Roman" w:hAnsi="Times New Roman" w:cs="Times New Roman"/>
                <w:b w:val="0"/>
                <w:color w:val="auto"/>
                <w:sz w:val="20"/>
                <w:szCs w:val="20"/>
                <w:shd w:val="clear" w:color="auto" w:fill="FFFFFF"/>
              </w:rPr>
              <w:lastRenderedPageBreak/>
              <w:t>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D47EBB" w:rsidP="000E1A81">
            <w:pPr>
              <w:rPr>
                <w:rFonts w:ascii="Times New Roman" w:hAnsi="Times New Roman" w:cs="Times New Roman"/>
                <w:sz w:val="20"/>
                <w:szCs w:val="20"/>
              </w:rPr>
            </w:pPr>
            <w:hyperlink r:id="rId169"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rsidR="00FF4AF3" w:rsidRPr="00F73B45" w:rsidRDefault="00D47EBB" w:rsidP="000E1A81">
            <w:pPr>
              <w:rPr>
                <w:rFonts w:ascii="Times New Roman" w:hAnsi="Times New Roman" w:cs="Times New Roman"/>
                <w:sz w:val="20"/>
                <w:szCs w:val="20"/>
              </w:rPr>
            </w:pPr>
            <w:hyperlink r:id="rId170"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 xml:space="preserve">Projekt ustawy o zmianie ustawy o refundacji leków, środków spożywczych specjalnego przeznaczenia żywieniowego oraz wyrobów </w:t>
            </w:r>
            <w:r w:rsidRPr="00F73B45">
              <w:rPr>
                <w:rFonts w:ascii="Times New Roman" w:hAnsi="Times New Roman" w:cs="Times New Roman"/>
                <w:b w:val="0"/>
                <w:color w:val="auto"/>
                <w:sz w:val="20"/>
                <w:szCs w:val="20"/>
                <w:shd w:val="clear" w:color="auto" w:fill="FFFFFF"/>
              </w:rPr>
              <w:lastRenderedPageBreak/>
              <w:t>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t>
            </w:r>
            <w:r w:rsidRPr="00F73B45">
              <w:rPr>
                <w:rFonts w:ascii="Times New Roman" w:eastAsia="Times New Roman" w:hAnsi="Times New Roman" w:cs="Times New Roman"/>
                <w:sz w:val="20"/>
                <w:szCs w:val="20"/>
                <w:lang w:eastAsia="pl-PL"/>
              </w:rPr>
              <w:lastRenderedPageBreak/>
              <w:t>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 xml:space="preserve">Konsultacje społeczne do </w:t>
            </w:r>
            <w:r w:rsidRPr="00F73B45">
              <w:rPr>
                <w:rFonts w:ascii="Times New Roman" w:hAnsi="Times New Roman" w:cs="Times New Roman"/>
                <w:sz w:val="20"/>
                <w:szCs w:val="20"/>
              </w:rPr>
              <w:lastRenderedPageBreak/>
              <w:t>31 sierpnia 2021 r (</w:t>
            </w:r>
            <w:hyperlink r:id="rId171"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D47EBB" w:rsidP="000E1A81">
            <w:pPr>
              <w:rPr>
                <w:rStyle w:val="Hipercze"/>
                <w:rFonts w:ascii="Times New Roman" w:hAnsi="Times New Roman" w:cs="Times New Roman"/>
                <w:sz w:val="20"/>
                <w:szCs w:val="20"/>
              </w:rPr>
            </w:pPr>
            <w:hyperlink r:id="rId172"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D47EBB" w:rsidP="000E1A81">
            <w:pPr>
              <w:rPr>
                <w:rFonts w:ascii="Times New Roman" w:hAnsi="Times New Roman" w:cs="Times New Roman"/>
                <w:sz w:val="20"/>
                <w:szCs w:val="20"/>
              </w:rPr>
            </w:pPr>
            <w:hyperlink r:id="rId173"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74"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D47EBB" w:rsidP="000E1A81">
            <w:pPr>
              <w:rPr>
                <w:rFonts w:ascii="Times New Roman" w:hAnsi="Times New Roman" w:cs="Times New Roman"/>
                <w:sz w:val="20"/>
                <w:szCs w:val="20"/>
              </w:rPr>
            </w:pPr>
            <w:hyperlink r:id="rId175"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D47EBB" w:rsidP="000E1A81">
            <w:pPr>
              <w:rPr>
                <w:rFonts w:ascii="Times New Roman" w:hAnsi="Times New Roman" w:cs="Times New Roman"/>
                <w:sz w:val="20"/>
                <w:szCs w:val="20"/>
              </w:rPr>
            </w:pPr>
            <w:hyperlink r:id="rId176"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177"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D47EBB" w:rsidP="000E1A81">
            <w:pPr>
              <w:rPr>
                <w:rFonts w:ascii="Times New Roman" w:hAnsi="Times New Roman" w:cs="Times New Roman"/>
                <w:sz w:val="20"/>
                <w:szCs w:val="20"/>
              </w:rPr>
            </w:pPr>
            <w:hyperlink r:id="rId178"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 xml:space="preserve">Komunikat w sprawie zwrotów szczepionek </w:t>
            </w:r>
            <w:r w:rsidRPr="00F73B45">
              <w:rPr>
                <w:rFonts w:ascii="Times New Roman" w:eastAsia="Times New Roman" w:hAnsi="Times New Roman" w:cs="Times New Roman"/>
                <w:b w:val="0"/>
                <w:bCs w:val="0"/>
                <w:color w:val="auto"/>
                <w:sz w:val="20"/>
                <w:szCs w:val="20"/>
                <w:lang w:eastAsia="pl-PL"/>
              </w:rPr>
              <w:lastRenderedPageBreak/>
              <w:t>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w:t>
            </w:r>
            <w:r w:rsidRPr="00F73B45">
              <w:rPr>
                <w:rFonts w:ascii="Times New Roman" w:eastAsia="Times New Roman" w:hAnsi="Times New Roman" w:cs="Times New Roman"/>
                <w:sz w:val="20"/>
                <w:szCs w:val="20"/>
                <w:lang w:eastAsia="pl-PL"/>
              </w:rPr>
              <w:lastRenderedPageBreak/>
              <w:t>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D47EBB" w:rsidP="000E1A81">
            <w:pPr>
              <w:rPr>
                <w:rFonts w:ascii="Times New Roman" w:hAnsi="Times New Roman" w:cs="Times New Roman"/>
                <w:sz w:val="20"/>
                <w:szCs w:val="20"/>
              </w:rPr>
            </w:pPr>
            <w:hyperlink r:id="rId179"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w:t>
              </w:r>
              <w:r w:rsidR="00FF4AF3" w:rsidRPr="00F73B45">
                <w:rPr>
                  <w:rStyle w:val="Hipercze"/>
                  <w:rFonts w:ascii="Times New Roman" w:hAnsi="Times New Roman" w:cs="Times New Roman"/>
                  <w:sz w:val="20"/>
                  <w:szCs w:val="20"/>
                </w:rPr>
                <w:lastRenderedPageBreak/>
                <w:t>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rsidR="00FF4AF3" w:rsidRPr="00F73B45" w:rsidRDefault="00D47EBB" w:rsidP="000E1A81">
            <w:pPr>
              <w:rPr>
                <w:rFonts w:ascii="Times New Roman" w:hAnsi="Times New Roman" w:cs="Times New Roman"/>
                <w:b/>
                <w:sz w:val="20"/>
                <w:szCs w:val="20"/>
              </w:rPr>
            </w:pPr>
            <w:hyperlink r:id="rId180"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 xml:space="preserve">Projekt ustawy o </w:t>
            </w:r>
            <w:r w:rsidRPr="00F73B45">
              <w:rPr>
                <w:rFonts w:ascii="Times New Roman" w:hAnsi="Times New Roman" w:cs="Times New Roman"/>
                <w:b w:val="0"/>
                <w:color w:val="auto"/>
                <w:sz w:val="20"/>
                <w:szCs w:val="20"/>
                <w:shd w:val="clear" w:color="auto" w:fill="FFFFFF"/>
              </w:rPr>
              <w:lastRenderedPageBreak/>
              <w:t>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Aktualnie zagadnienia jakości w opiece zdrowotnej są regulowane w wielu aktach prawnych o zróżnicowanej randze. Jednocześnie prowadzonych jest szereg inicjatyw projakościowych inicjowanych </w:t>
            </w:r>
            <w:r w:rsidRPr="00F73B45">
              <w:rPr>
                <w:rFonts w:ascii="Times New Roman" w:eastAsia="Times New Roman" w:hAnsi="Times New Roman" w:cs="Times New Roman"/>
                <w:sz w:val="20"/>
                <w:szCs w:val="20"/>
                <w:lang w:eastAsia="pl-PL"/>
              </w:rPr>
              <w:lastRenderedPageBreak/>
              <w:t>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181"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182"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D47EBB" w:rsidP="000E1A81">
            <w:pPr>
              <w:rPr>
                <w:rFonts w:ascii="Times New Roman" w:hAnsi="Times New Roman" w:cs="Times New Roman"/>
                <w:b/>
                <w:sz w:val="20"/>
                <w:szCs w:val="20"/>
              </w:rPr>
            </w:pPr>
            <w:hyperlink r:id="rId183"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rsidR="00FF4AF3" w:rsidRPr="00F73B45" w:rsidRDefault="00D47EBB" w:rsidP="000E1A81">
            <w:pPr>
              <w:rPr>
                <w:rFonts w:ascii="Times New Roman" w:hAnsi="Times New Roman" w:cs="Times New Roman"/>
                <w:b/>
                <w:sz w:val="20"/>
                <w:szCs w:val="20"/>
              </w:rPr>
            </w:pPr>
            <w:hyperlink r:id="rId184"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 xml:space="preserve">Zauważyć należy, iż obecnie zadania dotyczące kształcenia podyplomowego w zawodach medycznych realizowane są przez dwa podmioty. Kształcenie podyplomowe pielęgniarek i położnych jest </w:t>
            </w:r>
            <w:r w:rsidRPr="00F73B45">
              <w:rPr>
                <w:color w:val="000000"/>
                <w:sz w:val="20"/>
                <w:szCs w:val="20"/>
              </w:rPr>
              <w:lastRenderedPageBreak/>
              <w:t>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D47EBB" w:rsidP="000E1A81">
            <w:pPr>
              <w:rPr>
                <w:rFonts w:ascii="Times New Roman" w:hAnsi="Times New Roman" w:cs="Times New Roman"/>
                <w:b/>
                <w:sz w:val="20"/>
                <w:szCs w:val="20"/>
              </w:rPr>
            </w:pPr>
            <w:hyperlink r:id="rId185"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18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84C" w:rsidRDefault="00DD584C" w:rsidP="000E1A81">
      <w:pPr>
        <w:spacing w:after="0" w:line="240" w:lineRule="auto"/>
      </w:pPr>
      <w:r>
        <w:separator/>
      </w:r>
    </w:p>
  </w:endnote>
  <w:endnote w:type="continuationSeparator" w:id="0">
    <w:p w:rsidR="00DD584C" w:rsidRDefault="00DD584C"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D47EBB" w:rsidRDefault="00D47EBB">
        <w:pPr>
          <w:pStyle w:val="Stopka"/>
          <w:jc w:val="center"/>
        </w:pPr>
        <w:r>
          <w:fldChar w:fldCharType="begin"/>
        </w:r>
        <w:r>
          <w:instrText>PAGE   \* MERGEFORMAT</w:instrText>
        </w:r>
        <w:r>
          <w:fldChar w:fldCharType="separate"/>
        </w:r>
        <w:r w:rsidR="00117109">
          <w:rPr>
            <w:noProof/>
          </w:rPr>
          <w:t>2</w:t>
        </w:r>
        <w:r>
          <w:fldChar w:fldCharType="end"/>
        </w:r>
      </w:p>
    </w:sdtContent>
  </w:sdt>
  <w:p w:rsidR="00D47EBB" w:rsidRDefault="00D47E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84C" w:rsidRDefault="00DD584C" w:rsidP="000E1A81">
      <w:pPr>
        <w:spacing w:after="0" w:line="240" w:lineRule="auto"/>
      </w:pPr>
      <w:r>
        <w:separator/>
      </w:r>
    </w:p>
  </w:footnote>
  <w:footnote w:type="continuationSeparator" w:id="0">
    <w:p w:rsidR="00DD584C" w:rsidRDefault="00DD584C"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11548"/>
    <w:rsid w:val="00020328"/>
    <w:rsid w:val="000203D7"/>
    <w:rsid w:val="00023F5B"/>
    <w:rsid w:val="00033025"/>
    <w:rsid w:val="000330D6"/>
    <w:rsid w:val="000437FB"/>
    <w:rsid w:val="00045908"/>
    <w:rsid w:val="00054F0C"/>
    <w:rsid w:val="0009595E"/>
    <w:rsid w:val="000B0478"/>
    <w:rsid w:val="000B0BE9"/>
    <w:rsid w:val="000E1A81"/>
    <w:rsid w:val="00112962"/>
    <w:rsid w:val="00117109"/>
    <w:rsid w:val="0012667B"/>
    <w:rsid w:val="001333F3"/>
    <w:rsid w:val="00133C06"/>
    <w:rsid w:val="00144947"/>
    <w:rsid w:val="00144F6F"/>
    <w:rsid w:val="0014560B"/>
    <w:rsid w:val="00153064"/>
    <w:rsid w:val="00167409"/>
    <w:rsid w:val="00190E40"/>
    <w:rsid w:val="001B7E94"/>
    <w:rsid w:val="001C5979"/>
    <w:rsid w:val="001F65CF"/>
    <w:rsid w:val="00204EC6"/>
    <w:rsid w:val="002103C6"/>
    <w:rsid w:val="00211ED0"/>
    <w:rsid w:val="00212CCA"/>
    <w:rsid w:val="002314ED"/>
    <w:rsid w:val="00236005"/>
    <w:rsid w:val="00265235"/>
    <w:rsid w:val="00282CD2"/>
    <w:rsid w:val="00292EC2"/>
    <w:rsid w:val="0029746F"/>
    <w:rsid w:val="002A5F18"/>
    <w:rsid w:val="002A6F35"/>
    <w:rsid w:val="002B2476"/>
    <w:rsid w:val="002D1BDE"/>
    <w:rsid w:val="002D6BAA"/>
    <w:rsid w:val="002E5D30"/>
    <w:rsid w:val="002F6377"/>
    <w:rsid w:val="00300DD8"/>
    <w:rsid w:val="003013DB"/>
    <w:rsid w:val="003206B3"/>
    <w:rsid w:val="003244EF"/>
    <w:rsid w:val="003312C1"/>
    <w:rsid w:val="00340FC9"/>
    <w:rsid w:val="0034283B"/>
    <w:rsid w:val="003466C7"/>
    <w:rsid w:val="003501CB"/>
    <w:rsid w:val="003519CA"/>
    <w:rsid w:val="00374EA0"/>
    <w:rsid w:val="003906F8"/>
    <w:rsid w:val="003D3CCC"/>
    <w:rsid w:val="00420AD0"/>
    <w:rsid w:val="004225DD"/>
    <w:rsid w:val="0045122D"/>
    <w:rsid w:val="0045409D"/>
    <w:rsid w:val="0047713B"/>
    <w:rsid w:val="00486ECB"/>
    <w:rsid w:val="004B4717"/>
    <w:rsid w:val="004D7464"/>
    <w:rsid w:val="004D7474"/>
    <w:rsid w:val="004D7BA5"/>
    <w:rsid w:val="004E13BD"/>
    <w:rsid w:val="004E5548"/>
    <w:rsid w:val="00503B55"/>
    <w:rsid w:val="00535A7D"/>
    <w:rsid w:val="0054537B"/>
    <w:rsid w:val="00567EC4"/>
    <w:rsid w:val="0057559D"/>
    <w:rsid w:val="005756DA"/>
    <w:rsid w:val="00591D0D"/>
    <w:rsid w:val="00596005"/>
    <w:rsid w:val="005A159B"/>
    <w:rsid w:val="005A325B"/>
    <w:rsid w:val="005C7BD2"/>
    <w:rsid w:val="005D0876"/>
    <w:rsid w:val="005F3CBD"/>
    <w:rsid w:val="00604D3E"/>
    <w:rsid w:val="00616893"/>
    <w:rsid w:val="006249CE"/>
    <w:rsid w:val="0062591F"/>
    <w:rsid w:val="00635971"/>
    <w:rsid w:val="006459EE"/>
    <w:rsid w:val="00646CF9"/>
    <w:rsid w:val="00656203"/>
    <w:rsid w:val="00656BDD"/>
    <w:rsid w:val="006655F6"/>
    <w:rsid w:val="00671021"/>
    <w:rsid w:val="00692133"/>
    <w:rsid w:val="00695B48"/>
    <w:rsid w:val="006B1B96"/>
    <w:rsid w:val="006C4963"/>
    <w:rsid w:val="006C55F5"/>
    <w:rsid w:val="006C7E2A"/>
    <w:rsid w:val="00715264"/>
    <w:rsid w:val="0073420B"/>
    <w:rsid w:val="007408CE"/>
    <w:rsid w:val="007418A2"/>
    <w:rsid w:val="00753579"/>
    <w:rsid w:val="0077353D"/>
    <w:rsid w:val="007745A1"/>
    <w:rsid w:val="00777A1E"/>
    <w:rsid w:val="007C5681"/>
    <w:rsid w:val="007C6B85"/>
    <w:rsid w:val="007F151E"/>
    <w:rsid w:val="007F32B2"/>
    <w:rsid w:val="007F6D13"/>
    <w:rsid w:val="007F71A0"/>
    <w:rsid w:val="008047D8"/>
    <w:rsid w:val="0082564E"/>
    <w:rsid w:val="00842212"/>
    <w:rsid w:val="0086291E"/>
    <w:rsid w:val="0087573A"/>
    <w:rsid w:val="00883E51"/>
    <w:rsid w:val="008930E8"/>
    <w:rsid w:val="008A47BD"/>
    <w:rsid w:val="008B4764"/>
    <w:rsid w:val="008C1348"/>
    <w:rsid w:val="008C4071"/>
    <w:rsid w:val="008E5CF2"/>
    <w:rsid w:val="008F04BF"/>
    <w:rsid w:val="008F337B"/>
    <w:rsid w:val="008F6DD5"/>
    <w:rsid w:val="008F773E"/>
    <w:rsid w:val="00911846"/>
    <w:rsid w:val="00922EB4"/>
    <w:rsid w:val="0096629F"/>
    <w:rsid w:val="00984FCD"/>
    <w:rsid w:val="009B7E25"/>
    <w:rsid w:val="009D4860"/>
    <w:rsid w:val="009E385E"/>
    <w:rsid w:val="009E61DF"/>
    <w:rsid w:val="009E66FC"/>
    <w:rsid w:val="009F40FB"/>
    <w:rsid w:val="009F59AE"/>
    <w:rsid w:val="00A06754"/>
    <w:rsid w:val="00A13DF2"/>
    <w:rsid w:val="00A506D2"/>
    <w:rsid w:val="00A85F1F"/>
    <w:rsid w:val="00A92460"/>
    <w:rsid w:val="00A945C1"/>
    <w:rsid w:val="00AF081F"/>
    <w:rsid w:val="00AF2AE4"/>
    <w:rsid w:val="00AF4D3B"/>
    <w:rsid w:val="00B1137E"/>
    <w:rsid w:val="00B328EA"/>
    <w:rsid w:val="00B32B4D"/>
    <w:rsid w:val="00B77D39"/>
    <w:rsid w:val="00B94A88"/>
    <w:rsid w:val="00B960CF"/>
    <w:rsid w:val="00BA16CB"/>
    <w:rsid w:val="00BA3D37"/>
    <w:rsid w:val="00BC2E4E"/>
    <w:rsid w:val="00BC6958"/>
    <w:rsid w:val="00BC6C26"/>
    <w:rsid w:val="00BD68AA"/>
    <w:rsid w:val="00C005FC"/>
    <w:rsid w:val="00C122F3"/>
    <w:rsid w:val="00C45420"/>
    <w:rsid w:val="00C85626"/>
    <w:rsid w:val="00C940C7"/>
    <w:rsid w:val="00CA1712"/>
    <w:rsid w:val="00CA76DC"/>
    <w:rsid w:val="00CC3A44"/>
    <w:rsid w:val="00CF1D93"/>
    <w:rsid w:val="00D01FD4"/>
    <w:rsid w:val="00D067A4"/>
    <w:rsid w:val="00D2540A"/>
    <w:rsid w:val="00D2765A"/>
    <w:rsid w:val="00D32862"/>
    <w:rsid w:val="00D44D04"/>
    <w:rsid w:val="00D47EBB"/>
    <w:rsid w:val="00D55C6A"/>
    <w:rsid w:val="00D65071"/>
    <w:rsid w:val="00D720A8"/>
    <w:rsid w:val="00D73C1A"/>
    <w:rsid w:val="00D85424"/>
    <w:rsid w:val="00D94E96"/>
    <w:rsid w:val="00DA5215"/>
    <w:rsid w:val="00DB309D"/>
    <w:rsid w:val="00DB3B7E"/>
    <w:rsid w:val="00DC5468"/>
    <w:rsid w:val="00DD584C"/>
    <w:rsid w:val="00DE0865"/>
    <w:rsid w:val="00DE4438"/>
    <w:rsid w:val="00E17B5C"/>
    <w:rsid w:val="00E23740"/>
    <w:rsid w:val="00E3101A"/>
    <w:rsid w:val="00E60205"/>
    <w:rsid w:val="00E63911"/>
    <w:rsid w:val="00E81945"/>
    <w:rsid w:val="00E90A62"/>
    <w:rsid w:val="00EA378A"/>
    <w:rsid w:val="00ED7D04"/>
    <w:rsid w:val="00EE139A"/>
    <w:rsid w:val="00EE4803"/>
    <w:rsid w:val="00EF1C6A"/>
    <w:rsid w:val="00F011BC"/>
    <w:rsid w:val="00F024DA"/>
    <w:rsid w:val="00F30DEC"/>
    <w:rsid w:val="00F73B45"/>
    <w:rsid w:val="00F75957"/>
    <w:rsid w:val="00F84BD4"/>
    <w:rsid w:val="00F852CE"/>
    <w:rsid w:val="00F916A4"/>
    <w:rsid w:val="00F942C4"/>
    <w:rsid w:val="00FA5193"/>
    <w:rsid w:val="00FB336F"/>
    <w:rsid w:val="00FD4BE5"/>
    <w:rsid w:val="00FD7103"/>
    <w:rsid w:val="00FE6D56"/>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omczuk\Downloads\1568.pdf" TargetMode="External"/><Relationship Id="rId117" Type="http://schemas.openxmlformats.org/officeDocument/2006/relationships/hyperlink" Target="https://legislacja.gov.pl/docs/516/12349101/12802895/12802896/dokument512944.pdf" TargetMode="External"/><Relationship Id="rId21" Type="http://schemas.openxmlformats.org/officeDocument/2006/relationships/hyperlink" Target="https://dziennikustaw.gov.pl/D2021000189001.pdf" TargetMode="External"/><Relationship Id="rId42" Type="http://schemas.openxmlformats.org/officeDocument/2006/relationships/hyperlink" Target="https://dziennikustaw.gov.pl/D2021000185901.pdf" TargetMode="External"/><Relationship Id="rId47" Type="http://schemas.openxmlformats.org/officeDocument/2006/relationships/hyperlink" Target="https://www.nfz.gov.pl/zarzadzenia-prezesa/zarzadzenia-prezesa-nfz/zarzadzenie-nr-1672021dgl,7424.html" TargetMode="External"/><Relationship Id="rId63" Type="http://schemas.openxmlformats.org/officeDocument/2006/relationships/hyperlink" Target="http://dziennikmz.mz.gov.pl/DUM_MZ/2021/77/akt.pdf" TargetMode="External"/><Relationship Id="rId68" Type="http://schemas.openxmlformats.org/officeDocument/2006/relationships/hyperlink" Target="https://dziennikustaw.gov.pl/D2021000180101.pdf" TargetMode="External"/><Relationship Id="rId84" Type="http://schemas.openxmlformats.org/officeDocument/2006/relationships/hyperlink" Target="mailto:dep-pl@mz.gov.pl" TargetMode="External"/><Relationship Id="rId89" Type="http://schemas.openxmlformats.org/officeDocument/2006/relationships/hyperlink" Target="https://www.nfz.gov.pl/zarzadzenia-prezesa/projekty-zarzadzen/projekt-zarzadzenia-warunki-i-zawieranie-umow-opieka-paliatywna-i-hospicyjna,6744.html" TargetMode="External"/><Relationship Id="rId112" Type="http://schemas.openxmlformats.org/officeDocument/2006/relationships/hyperlink" Target="https://dziennikustaw.gov.pl/D2021000159401.pdf" TargetMode="External"/><Relationship Id="rId133" Type="http://schemas.openxmlformats.org/officeDocument/2006/relationships/hyperlink" Target="http://www.dziennikmz.mz.gov.pl/DUM_MZ/2021/66/akt.pdf" TargetMode="External"/><Relationship Id="rId138" Type="http://schemas.openxmlformats.org/officeDocument/2006/relationships/hyperlink" Target="http://dziennikmz.mz.gov.pl/DUM_MZ/2021/63/akt.pdf" TargetMode="External"/><Relationship Id="rId154" Type="http://schemas.openxmlformats.org/officeDocument/2006/relationships/hyperlink" Target="https://www.nfz.gov.pl/zarzadzenia-prezesa/zarzadzenia-prezesa-nfz/zarzadzenie-nr-1422021def,7404.html" TargetMode="External"/><Relationship Id="rId159" Type="http://schemas.openxmlformats.org/officeDocument/2006/relationships/hyperlink" Target="https://dziennikustaw.gov.pl/D2021000142901.pdf" TargetMode="External"/><Relationship Id="rId175" Type="http://schemas.openxmlformats.org/officeDocument/2006/relationships/hyperlink" Target="https://legislacja.gov.pl/projekt/12349604" TargetMode="External"/><Relationship Id="rId170" Type="http://schemas.openxmlformats.org/officeDocument/2006/relationships/hyperlink" Target="https://www.nfz.gov.pl/zarzadzenia-prezesa/zarzadzenia-prezesa-nfz/zarzadzenie-nr-1372021dsoz,7400.html" TargetMode="External"/><Relationship Id="rId16" Type="http://schemas.openxmlformats.org/officeDocument/2006/relationships/hyperlink" Target="https://dziennikustaw.gov.pl/D2021000190801.pdf" TargetMode="External"/><Relationship Id="rId107" Type="http://schemas.openxmlformats.org/officeDocument/2006/relationships/hyperlink" Target="http://dziennikmz.mz.gov.pl/DUM_MZ/2021/69/akt.pdf" TargetMode="External"/><Relationship Id="rId11" Type="http://schemas.openxmlformats.org/officeDocument/2006/relationships/hyperlink" Target="https://dziennikustaw.gov.pl/D2021000191401.pdf" TargetMode="External"/><Relationship Id="rId32" Type="http://schemas.openxmlformats.org/officeDocument/2006/relationships/hyperlink" Target="mailto:ldep-rkm@mz.gov.pl" TargetMode="External"/><Relationship Id="rId37" Type="http://schemas.openxmlformats.org/officeDocument/2006/relationships/hyperlink" Target="https://www.nfz.gov.pl/zarzadzenia-prezesa/zarzadzenia-prezesa-nfz/zarzadzenie-nr-1702021bk,7427.html" TargetMode="External"/><Relationship Id="rId53" Type="http://schemas.openxmlformats.org/officeDocument/2006/relationships/hyperlink" Target="https://legislacja.gov.pl/projekt/12347954/katalog/12795116" TargetMode="External"/><Relationship Id="rId58" Type="http://schemas.openxmlformats.org/officeDocument/2006/relationships/hyperlink" Target="https://www.nfz.gov.pl/zarzadzenia-prezesa/projekty-zarzadzen/projekt-zarzadzenia-umowy-o-udzielanie-onkologicznych-swiadczen-kompleksowych,6749.html" TargetMode="External"/><Relationship Id="rId74" Type="http://schemas.openxmlformats.org/officeDocument/2006/relationships/hyperlink" Target="https://www.nfz.gov.pl/zarzadzenia-prezesa/zarzadzenia-prezesa-nfz/zarzadzenie-nr-1592021dsoz,7419.html" TargetMode="External"/><Relationship Id="rId79" Type="http://schemas.openxmlformats.org/officeDocument/2006/relationships/hyperlink" Target="https://dziennikustaw.gov.pl/D2021000172701.pdf" TargetMode="External"/><Relationship Id="rId102" Type="http://schemas.openxmlformats.org/officeDocument/2006/relationships/hyperlink" Target="http://dziennikmz.mz.gov.pl/DUM_MZ/2021/75/akt.pdf" TargetMode="External"/><Relationship Id="rId123" Type="http://schemas.openxmlformats.org/officeDocument/2006/relationships/hyperlink" Target="mailto:dep-zp@mz.gov.pl" TargetMode="External"/><Relationship Id="rId128" Type="http://schemas.openxmlformats.org/officeDocument/2006/relationships/hyperlink" Target="https://legislacja.gov.pl/docs/516/12345505/12778817/12778818/dokument498174.pdf" TargetMode="External"/><Relationship Id="rId144" Type="http://schemas.openxmlformats.org/officeDocument/2006/relationships/hyperlink" Target="http://dziennikmz.mz.gov.pl/DUM_MZ/2021/62/akt.pdf" TargetMode="External"/><Relationship Id="rId149" Type="http://schemas.openxmlformats.org/officeDocument/2006/relationships/hyperlink" Target="mailto:dep-zp@mz.gov.pl" TargetMode="External"/><Relationship Id="rId5" Type="http://schemas.openxmlformats.org/officeDocument/2006/relationships/settings" Target="settings.xml"/><Relationship Id="rId90" Type="http://schemas.openxmlformats.org/officeDocument/2006/relationships/hyperlink" Target="mailto:szpital.dsoz@nfz.gov.pl" TargetMode="External"/><Relationship Id="rId95" Type="http://schemas.openxmlformats.org/officeDocument/2006/relationships/hyperlink" Target="https://www.nfz.gov.pl/zarzadzenia-prezesa/zarzadzenia-prezesa-nfz/zarzadzenie-nr-1522021dsoz,7413.html" TargetMode="External"/><Relationship Id="rId160" Type="http://schemas.openxmlformats.org/officeDocument/2006/relationships/hyperlink" Target="http://dziennikmz.mz.gov.pl/DUM_MZ/2021/58/akt.pdf" TargetMode="External"/><Relationship Id="rId165" Type="http://schemas.openxmlformats.org/officeDocument/2006/relationships/hyperlink" Target="https://dziennikustaw.gov.pl/D2021000142201.pdf" TargetMode="External"/><Relationship Id="rId181" Type="http://schemas.openxmlformats.org/officeDocument/2006/relationships/hyperlink" Target="mailto:dep-dl@mz.gov.pl" TargetMode="External"/><Relationship Id="rId186" Type="http://schemas.openxmlformats.org/officeDocument/2006/relationships/footer" Target="footer1.xml"/><Relationship Id="rId22" Type="http://schemas.openxmlformats.org/officeDocument/2006/relationships/hyperlink" Target="mailto:uwagi.swiadczenia.gwarantowane@mz.gov.pl" TargetMode="External"/><Relationship Id="rId27" Type="http://schemas.openxmlformats.org/officeDocument/2006/relationships/hyperlink" Target="https://orka.sejm.gov.pl/Druki9ka.nsf/0/12CB73CB71516BA7C12587680039DBE2/%24File/1631.pdf" TargetMode="External"/><Relationship Id="rId43" Type="http://schemas.openxmlformats.org/officeDocument/2006/relationships/hyperlink" Target="mailto:dep-zp@mz.gov.pl" TargetMode="External"/><Relationship Id="rId48" Type="http://schemas.openxmlformats.org/officeDocument/2006/relationships/hyperlink" Target="https://www.nfz.gov.pl/zarzadzenia-prezesa/zarzadzenia-prezesa-nfz/zarzadzenie-nr-1662021dsm,7423.html" TargetMode="External"/><Relationship Id="rId64" Type="http://schemas.openxmlformats.org/officeDocument/2006/relationships/hyperlink" Target="https://www.nfz.gov.pl/zarzadzenia-prezesa/zarzadzenia-prezesa-nfz/zarzadzenie-nr-1612021dsm,7421.html" TargetMode="External"/><Relationship Id="rId69" Type="http://schemas.openxmlformats.org/officeDocument/2006/relationships/hyperlink" Target="http://orka.sejm.gov.pl/Druki9ka.nsf/Projekty/9-020-143-2020/$file/9-020-143-2020.pdf" TargetMode="External"/><Relationship Id="rId113" Type="http://schemas.openxmlformats.org/officeDocument/2006/relationships/hyperlink" Target="https://dziennikustaw.gov.pl/D2021000158101.pdf" TargetMode="External"/><Relationship Id="rId118" Type="http://schemas.openxmlformats.org/officeDocument/2006/relationships/hyperlink" Target="https://legislacja.gov.pl/docs/516/12351453/12816117/12816119/dokument521288.pdf" TargetMode="External"/><Relationship Id="rId134" Type="http://schemas.openxmlformats.org/officeDocument/2006/relationships/hyperlink" Target="http://dziennikmz.mz.gov.pl/DUM_MZ/2021/65/akt.pdf" TargetMode="External"/><Relationship Id="rId139" Type="http://schemas.openxmlformats.org/officeDocument/2006/relationships/hyperlink" Target="https://dziennikustaw.gov.pl/D2021000151001.pdf" TargetMode="External"/><Relationship Id="rId80" Type="http://schemas.openxmlformats.org/officeDocument/2006/relationships/hyperlink" Target="https://dziennikustaw.gov.pl/D2021000172501.pdf" TargetMode="External"/><Relationship Id="rId85" Type="http://schemas.openxmlformats.org/officeDocument/2006/relationships/hyperlink" Target="https://legislacja.gov.pl/docs/516/12351752/12819197/12819199/dokument523156.pdf" TargetMode="External"/><Relationship Id="rId150" Type="http://schemas.openxmlformats.org/officeDocument/2006/relationships/hyperlink" Target="https://legislacja.gov.pl/docs/516/12350102/12809954/12809955/dokument517145.pdf" TargetMode="External"/><Relationship Id="rId155" Type="http://schemas.openxmlformats.org/officeDocument/2006/relationships/hyperlink" Target="https://dziennikustaw.gov.pl/D2021000145801.pdf" TargetMode="External"/><Relationship Id="rId171" Type="http://schemas.openxmlformats.org/officeDocument/2006/relationships/hyperlink" Target="mailto:dep-pl@mz.gov.pl" TargetMode="External"/><Relationship Id="rId176" Type="http://schemas.openxmlformats.org/officeDocument/2006/relationships/hyperlink" Target="https://www.nfz.gov.pl/zarzadzenia-prezesa/zarzadzenia-prezesa-nfz/zarzadzenie-nr-1622020dgl-tekst-ujednolicony,7399.html" TargetMode="External"/><Relationship Id="rId12" Type="http://schemas.openxmlformats.org/officeDocument/2006/relationships/hyperlink" Target="https://legislacja.gov.pl/docs/516/12352153/12821897/12821898/dokument524933.pdf" TargetMode="External"/><Relationship Id="rId17" Type="http://schemas.openxmlformats.org/officeDocument/2006/relationships/hyperlink" Target="https://legislacja.gov.pl/docs/516/12347308/12791261/12791262/dokument505291.pdf" TargetMode="External"/><Relationship Id="rId33" Type="http://schemas.openxmlformats.org/officeDocument/2006/relationships/hyperlink" Target="https://legislacja.gov.pl/docs/516/12352354/12822740/12822741/dokument525718.pdf" TargetMode="External"/><Relationship Id="rId38" Type="http://schemas.openxmlformats.org/officeDocument/2006/relationships/hyperlink" Target="https://www.nfz.gov.pl/zarzadzenia-prezesa/zarzadzenia-prezesa-nfz/zarzadzenie-nr-1692021dsm,7426.html" TargetMode="External"/><Relationship Id="rId59" Type="http://schemas.openxmlformats.org/officeDocument/2006/relationships/hyperlink" Target="mailto:szpital.dsoz@nfz.gov.pl" TargetMode="External"/><Relationship Id="rId103" Type="http://schemas.openxmlformats.org/officeDocument/2006/relationships/hyperlink" Target="http://dziennikmz.mz.gov.pl/DUM_MZ/2021/74/akt.pdf" TargetMode="External"/><Relationship Id="rId108" Type="http://schemas.openxmlformats.org/officeDocument/2006/relationships/hyperlink" Target="http://dziennikmz.mz.gov.pl/DUM_MZ/2021/68/akt.pdf" TargetMode="External"/><Relationship Id="rId124" Type="http://schemas.openxmlformats.org/officeDocument/2006/relationships/hyperlink" Target="https://legislacja.gov.pl/docs/516/12351156/12814725/12814726/dokument520555.pdf" TargetMode="External"/><Relationship Id="rId129" Type="http://schemas.openxmlformats.org/officeDocument/2006/relationships/hyperlink" Target="mailto:dep-di@mz.gov.pl" TargetMode="External"/><Relationship Id="rId54" Type="http://schemas.openxmlformats.org/officeDocument/2006/relationships/hyperlink" Target="https://orka.sejm.gov.pl/Druki9ka.nsf/0/12CB73CB71516BA7C12587680039DBE2/%24File/1631.pdf" TargetMode="External"/><Relationship Id="rId70" Type="http://schemas.openxmlformats.org/officeDocument/2006/relationships/hyperlink" Target="https://dziennikustaw.gov.pl/D2021000177701.pdf" TargetMode="External"/><Relationship Id="rId75" Type="http://schemas.openxmlformats.org/officeDocument/2006/relationships/hyperlink" Target="https://www.nfz.gov.pl/zarzadzenia-prezesa/zarzadzenia-prezesa-nfz/zarzadzenie-nr-1582021dsoz,7418.html" TargetMode="External"/><Relationship Id="rId91" Type="http://schemas.openxmlformats.org/officeDocument/2006/relationships/hyperlink" Target="https://www.nfz.gov.pl/zarzadzenia-prezesa/projekty-zarzadzen/projekt-zarzadzenia-leczenie-szpitalne-swiadczenia-wysokospecjalistyczne,6741.html" TargetMode="External"/><Relationship Id="rId96" Type="http://schemas.openxmlformats.org/officeDocument/2006/relationships/hyperlink" Target="https://www.nfz.gov.pl/zarzadzenia-prezesa/zarzadzenia-prezesa-nfz/zarzadzenie-nr-1622020dgl-tekst-ujednolicony,7412.html" TargetMode="External"/><Relationship Id="rId140" Type="http://schemas.openxmlformats.org/officeDocument/2006/relationships/hyperlink" Target="mailto:dp@urpl.gov.pl" TargetMode="External"/><Relationship Id="rId145" Type="http://schemas.openxmlformats.org/officeDocument/2006/relationships/hyperlink" Target="mailto:dep-zp@mz.gov.pl" TargetMode="External"/><Relationship Id="rId161" Type="http://schemas.openxmlformats.org/officeDocument/2006/relationships/hyperlink" Target="mailto:dep-zp@mz.gov.pl" TargetMode="External"/><Relationship Id="rId166" Type="http://schemas.openxmlformats.org/officeDocument/2006/relationships/hyperlink" Target="http://dziennikmz.mz.gov.pl/DUM_MZ/2021/57/akt.pdf" TargetMode="External"/><Relationship Id="rId182" Type="http://schemas.openxmlformats.org/officeDocument/2006/relationships/hyperlink" Target="https://sip.lex.pl/"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egislacja.gov.pl/docs/516/12352451/12823010/12823011/dokument525930.pdf" TargetMode="External"/><Relationship Id="rId28" Type="http://schemas.openxmlformats.org/officeDocument/2006/relationships/hyperlink" Target="http://orka.sejm.gov.pl/Druki9ka.nsf/Projekty/9-020-683-2021/$file/9-020-683-2021.pdf" TargetMode="External"/><Relationship Id="rId49" Type="http://schemas.openxmlformats.org/officeDocument/2006/relationships/hyperlink" Target="mailto:sekretariat.dsoz@nfz.gov.pl" TargetMode="External"/><Relationship Id="rId114" Type="http://schemas.openxmlformats.org/officeDocument/2006/relationships/hyperlink" Target="https://legislacja.gov.pl/projekt/12351668/katalog/12818482" TargetMode="External"/><Relationship Id="rId119" Type="http://schemas.openxmlformats.org/officeDocument/2006/relationships/hyperlink" Target="https://legislacja.gov.pl/docs/516/12349100/12802858/12802859/dokument512931.pdf" TargetMode="External"/><Relationship Id="rId44" Type="http://schemas.openxmlformats.org/officeDocument/2006/relationships/hyperlink" Target="https://legislacja.gov.pl/docs/516/12352251/12822156/12822157/dokument525259.pdf" TargetMode="External"/><Relationship Id="rId60" Type="http://schemas.openxmlformats.org/officeDocument/2006/relationships/hyperlink" Target="https://www.nfz.gov.pl/zarzadzenia-prezesa/projekty-zarzadzen/projekt-zarzadzenia-leczenie-szpitalne-swiadczenia-wysokospecjalistyczne,6748.html" TargetMode="External"/><Relationship Id="rId65" Type="http://schemas.openxmlformats.org/officeDocument/2006/relationships/hyperlink" Target="mailto:dep-as@mz.gov.pl" TargetMode="External"/><Relationship Id="rId81" Type="http://schemas.openxmlformats.org/officeDocument/2006/relationships/hyperlink" Target="https://dziennikustaw.gov.pl/D2021000172401.pdf" TargetMode="External"/><Relationship Id="rId86" Type="http://schemas.openxmlformats.org/officeDocument/2006/relationships/hyperlink" Target="mailto:sekretariat.pr@gis.gov.pl" TargetMode="External"/><Relationship Id="rId130" Type="http://schemas.openxmlformats.org/officeDocument/2006/relationships/hyperlink" Target="https://legislacja.gov.pl/docs/516/12350900/12813008/12813009/dokument519444.pdf" TargetMode="External"/><Relationship Id="rId135" Type="http://schemas.openxmlformats.org/officeDocument/2006/relationships/hyperlink" Target="http://dziennikmz.mz.gov.pl/DUM_MZ/2021/64/akt.pdf" TargetMode="External"/><Relationship Id="rId151" Type="http://schemas.openxmlformats.org/officeDocument/2006/relationships/hyperlink" Target="http://www.dziennikmz.mz.gov.pl/DUM_MZ/2021/59/akt.pdf" TargetMode="External"/><Relationship Id="rId156" Type="http://schemas.openxmlformats.org/officeDocument/2006/relationships/hyperlink" Target="https://orka.sejm.gov.pl/Druki9ka.nsf/0/1F3E2EAB9E74FD2DC125867900420CBA/%24File/927.pdf" TargetMode="External"/><Relationship Id="rId177" Type="http://schemas.openxmlformats.org/officeDocument/2006/relationships/hyperlink" Target="mailto:t.janus@mz.gov.pl" TargetMode="External"/><Relationship Id="rId172" Type="http://schemas.openxmlformats.org/officeDocument/2006/relationships/hyperlink" Target="https://legislacja.rcl.gov.pl/projekt/12348505" TargetMode="External"/><Relationship Id="rId13" Type="http://schemas.openxmlformats.org/officeDocument/2006/relationships/hyperlink" Target="http://dziennikmz.mz.gov.pl/DUM_MZ/2021/83/akt.pdf" TargetMode="External"/><Relationship Id="rId18" Type="http://schemas.openxmlformats.org/officeDocument/2006/relationships/hyperlink" Target="https://legislacja.gov.pl/docs/516/12341754/12751974/12751975/dokument482120.pdf" TargetMode="External"/><Relationship Id="rId39" Type="http://schemas.openxmlformats.org/officeDocument/2006/relationships/hyperlink" Target="mailto:dep-zp@mz.gov.pl" TargetMode="External"/><Relationship Id="rId109" Type="http://schemas.openxmlformats.org/officeDocument/2006/relationships/hyperlink" Target="http://dziennikmz.mz.gov.pl/DUM_MZ/2021/67/akt.pdf" TargetMode="External"/><Relationship Id="rId34" Type="http://schemas.openxmlformats.org/officeDocument/2006/relationships/hyperlink" Target="https://legislacja.gov.pl/docs/516/12346703/12787397/12787398/dokument502706.pdf" TargetMode="External"/><Relationship Id="rId50" Type="http://schemas.openxmlformats.org/officeDocument/2006/relationships/hyperlink" Target="https://www.nfz.gov.pl/zarzadzenia-prezesa/projekty-zarzadzen/projekt-zarzadzenia-program-pilotazowy-kos-bar,6751.html" TargetMode="External"/><Relationship Id="rId55" Type="http://schemas.openxmlformats.org/officeDocument/2006/relationships/hyperlink" Target="mailto:szpital.dsoz@nfz.gov.pl" TargetMode="External"/><Relationship Id="rId76" Type="http://schemas.openxmlformats.org/officeDocument/2006/relationships/hyperlink" Target="https://www.nfz.gov.pl/zarzadzenia-prezesa/zarzadzenia-prezesa-nfz/zarzadzenie-nr-1572021dsoz,7417.html" TargetMode="External"/><Relationship Id="rId97" Type="http://schemas.openxmlformats.org/officeDocument/2006/relationships/hyperlink" Target="https://www.nfz.gov.pl/zarzadzenia-prezesa/zarzadzenia-prezesa-nfz/zarzadzenie-nr-722021dgl-tekst-ujednolicony,7411.html" TargetMode="External"/><Relationship Id="rId104" Type="http://schemas.openxmlformats.org/officeDocument/2006/relationships/hyperlink" Target="http://dziennikmz.mz.gov.pl/DUM_MZ/2021/72/akt.pdf" TargetMode="External"/><Relationship Id="rId120" Type="http://schemas.openxmlformats.org/officeDocument/2006/relationships/hyperlink" Target="https://orka.sejm.gov.pl/Druki9ka.nsf/0/A2FBF300AB405A7CC12587510056AE4E/%24File/1569.pdf" TargetMode="External"/><Relationship Id="rId125" Type="http://schemas.openxmlformats.org/officeDocument/2006/relationships/hyperlink" Target="mailto:sekretariat.pr@gis.gov.pl" TargetMode="External"/><Relationship Id="rId141" Type="http://schemas.openxmlformats.org/officeDocument/2006/relationships/hyperlink" Target="https://legislacja.gov.pl/docs/2/12350254/12810530/12810531/dokument517580.pdf" TargetMode="External"/><Relationship Id="rId146" Type="http://schemas.openxmlformats.org/officeDocument/2006/relationships/hyperlink" Target="https://legislacja.gov.pl/projekt/12350200/katalog/12810152" TargetMode="External"/><Relationship Id="rId167" Type="http://schemas.openxmlformats.org/officeDocument/2006/relationships/hyperlink" Target="https://sejm.gov.pl/Sejm9.nsf/druk.xsp?nr=1449" TargetMode="Externa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92" Type="http://schemas.openxmlformats.org/officeDocument/2006/relationships/hyperlink" Target="https://www.nfz.gov.pl/zarzadzenia-prezesa/zarzadzenia-prezesa-nfz/zarzadzenie-nr-1562021dsoz,7416.html" TargetMode="External"/><Relationship Id="rId162" Type="http://schemas.openxmlformats.org/officeDocument/2006/relationships/hyperlink" Target="https://legislacja.gov.pl/docs/516/12349853/12808531/12808532/dokument516319.pdf" TargetMode="External"/><Relationship Id="rId183" Type="http://schemas.openxmlformats.org/officeDocument/2006/relationships/hyperlink" Target="https://legislacja.rcl.gov.pl/projekt/12349305" TargetMode="External"/><Relationship Id="rId2" Type="http://schemas.openxmlformats.org/officeDocument/2006/relationships/numbering" Target="numbering.xml"/><Relationship Id="rId29" Type="http://schemas.openxmlformats.org/officeDocument/2006/relationships/hyperlink" Target="http://dziennikmz.mz.gov.pl/DUM_MZ/2021/80/akt.pdf" TargetMode="External"/><Relationship Id="rId24" Type="http://schemas.openxmlformats.org/officeDocument/2006/relationships/hyperlink" Target="https://legislacja.gov.pl/docs/516/12348500/12799252/12799253/dokument510272.pdf" TargetMode="External"/><Relationship Id="rId40" Type="http://schemas.openxmlformats.org/officeDocument/2006/relationships/hyperlink" Target="https://legislacja.gov.pl/docs/516/12352302/12822359/12822360/dokument525462.pdf" TargetMode="External"/><Relationship Id="rId45" Type="http://schemas.openxmlformats.org/officeDocument/2006/relationships/hyperlink" Target="https://dziennikustaw.gov.pl/D2021000184901.pdf" TargetMode="External"/><Relationship Id="rId66" Type="http://schemas.openxmlformats.org/officeDocument/2006/relationships/hyperlink" Target="https://legislacja.gov.pl/docs/3/12348352/12798644/12798645/dokument509766.pdf" TargetMode="External"/><Relationship Id="rId87" Type="http://schemas.openxmlformats.org/officeDocument/2006/relationships/hyperlink" Target="https://legislacja.gov.pl/docs/516/12350553/12811653/12811654/dokument518469.pdf" TargetMode="External"/><Relationship Id="rId110" Type="http://schemas.openxmlformats.org/officeDocument/2006/relationships/hyperlink" Target="https://dziennikustaw.gov.pl/D2021000169101.pdf" TargetMode="External"/><Relationship Id="rId115" Type="http://schemas.openxmlformats.org/officeDocument/2006/relationships/hyperlink" Target="mailto:k.makowiecka@mz.gov.pl" TargetMode="External"/><Relationship Id="rId131" Type="http://schemas.openxmlformats.org/officeDocument/2006/relationships/hyperlink" Target="https://legislacja.gov.pl/docs/516/12348801/12801345/12801346/dokument511725.pdf" TargetMode="External"/><Relationship Id="rId136" Type="http://schemas.openxmlformats.org/officeDocument/2006/relationships/hyperlink" Target="https://www.nfz.gov.pl/zarzadzenia-prezesa/zarzadzenia-prezesa-nfz/zarzadzenie-nr-1452021gpf,7406.html" TargetMode="External"/><Relationship Id="rId157" Type="http://schemas.openxmlformats.org/officeDocument/2006/relationships/hyperlink" Target="https://dziennikustaw.gov.pl/D2021000144801.pdf" TargetMode="External"/><Relationship Id="rId178" Type="http://schemas.openxmlformats.org/officeDocument/2006/relationships/hyperlink" Target="https://legislacja.rcl.gov.pl/projekt/12349551/katalog/12806595" TargetMode="External"/><Relationship Id="rId61" Type="http://schemas.openxmlformats.org/officeDocument/2006/relationships/hyperlink" Target="https://www.nfz.gov.pl/zarzadzenia-prezesa/zarzadzenia-prezesa-nfz/zarzadzenie-nr-1642021dsoz,7422.html" TargetMode="External"/><Relationship Id="rId82" Type="http://schemas.openxmlformats.org/officeDocument/2006/relationships/hyperlink" Target="https://dziennikustaw.gov.pl/D2021000177101.pdf" TargetMode="External"/><Relationship Id="rId152" Type="http://schemas.openxmlformats.org/officeDocument/2006/relationships/hyperlink" Target="https://dziennikustaw.gov.pl/D2021000146801.pdf" TargetMode="External"/><Relationship Id="rId173" Type="http://schemas.openxmlformats.org/officeDocument/2006/relationships/hyperlink" Target="https://www.gov.pl/web/rpp/rop-dyskutuje-o-nowelizacji-ustawy-refundacyjnej" TargetMode="External"/><Relationship Id="rId19" Type="http://schemas.openxmlformats.org/officeDocument/2006/relationships/hyperlink" Target="https://www.nfz.gov.pl/zarzadzenia-prezesa/zarzadzenia-prezesa-nfz/zarzadzenie-nr-1732021dsm,7430.html" TargetMode="External"/><Relationship Id="rId14" Type="http://schemas.openxmlformats.org/officeDocument/2006/relationships/hyperlink" Target="http://dziennikmz.mz.gov.pl/DUM_MZ/2021/82/akt.pdf" TargetMode="External"/><Relationship Id="rId30" Type="http://schemas.openxmlformats.org/officeDocument/2006/relationships/hyperlink" Target="https://dziennikustaw.gov.pl/D2021000188501.pdf" TargetMode="External"/><Relationship Id="rId35" Type="http://schemas.openxmlformats.org/officeDocument/2006/relationships/hyperlink" Target="https://dziennikustaw.gov.pl/D2021000186201.pdf" TargetMode="External"/><Relationship Id="rId56" Type="http://schemas.openxmlformats.org/officeDocument/2006/relationships/hyperlink" Target="https://www.nfz.gov.pl/zarzadzenia-prezesa/projekty-zarzadzen/projekt-zarzadzenia-leczenie-szpitalne-swiadczenia-kompleksowe,6750.html" TargetMode="External"/><Relationship Id="rId77" Type="http://schemas.openxmlformats.org/officeDocument/2006/relationships/hyperlink" Target="https://dziennikustaw.gov.pl/D2021000177301.pdf" TargetMode="External"/><Relationship Id="rId100" Type="http://schemas.openxmlformats.org/officeDocument/2006/relationships/hyperlink" Target="https://www.nfz.gov.pl/zarzadzenia-prezesa/zarzadzenia-prezesa-nfz/zarzadzenie-nr-1482021dsoz,7408.html" TargetMode="External"/><Relationship Id="rId105" Type="http://schemas.openxmlformats.org/officeDocument/2006/relationships/hyperlink" Target="http://dziennikmz.mz.gov.pl/DUM_MZ/2021/71/akt.pdf" TargetMode="External"/><Relationship Id="rId126" Type="http://schemas.openxmlformats.org/officeDocument/2006/relationships/hyperlink" Target="https://legislacja.gov.pl/docs/516/12351102/12814258/12814259/dokument520247.pdf" TargetMode="External"/><Relationship Id="rId147" Type="http://schemas.openxmlformats.org/officeDocument/2006/relationships/hyperlink" Target="http://dziennikmz.mz.gov.pl/DUM_MZ/2021/61/akt.pdf" TargetMode="External"/><Relationship Id="rId168" Type="http://schemas.openxmlformats.org/officeDocument/2006/relationships/hyperlink" Target="http://dziennikmz.mz.gov.pl/DUM_MZ/2021/56/akt.pdf" TargetMode="External"/><Relationship Id="rId8" Type="http://schemas.openxmlformats.org/officeDocument/2006/relationships/endnotes" Target="endnotes.xml"/><Relationship Id="rId51" Type="http://schemas.openxmlformats.org/officeDocument/2006/relationships/hyperlink" Target="https://dziennikustaw.gov.pl/D2021000183701.pdf" TargetMode="External"/><Relationship Id="rId72"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93" Type="http://schemas.openxmlformats.org/officeDocument/2006/relationships/hyperlink" Target="https://www.nfz.gov.pl/zarzadzenia-prezesa/zarzadzenia-prezesa-nfz/zarzadzenie-nr-1552021dsoz,7415.html" TargetMode="External"/><Relationship Id="rId98" Type="http://schemas.openxmlformats.org/officeDocument/2006/relationships/hyperlink" Target="https://www.nfz.gov.pl/zarzadzenia-prezesa/zarzadzenia-prezesa-nfz/zarzadzenie-nr-1512021dk,7410.html" TargetMode="External"/><Relationship Id="rId121" Type="http://schemas.openxmlformats.org/officeDocument/2006/relationships/hyperlink" Target="mailto:m.cichowska@mz.gov.pl" TargetMode="External"/><Relationship Id="rId142" Type="http://schemas.openxmlformats.org/officeDocument/2006/relationships/hyperlink" Target="mailto:uwagi.swiadczenia.gwarantowane@mz.gov.pl" TargetMode="External"/><Relationship Id="rId163" Type="http://schemas.openxmlformats.org/officeDocument/2006/relationships/hyperlink" Target="https://www.nfz.gov.pl/zarzadzenia-prezesa/zarzadzenia-prezesa-nfz/obwieszczenie-prezesa-nfz,7402.html" TargetMode="External"/><Relationship Id="rId184"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3" Type="http://schemas.openxmlformats.org/officeDocument/2006/relationships/styles" Target="styles.xml"/><Relationship Id="rId25" Type="http://schemas.openxmlformats.org/officeDocument/2006/relationships/hyperlink" Target="https://www.nfz.gov.pl/zarzadzenia-prezesa/zarzadzenia-prezesa-nfz/zarzadzenie-nr-1722021dsoz,7429.html" TargetMode="External"/><Relationship Id="rId46" Type="http://schemas.openxmlformats.org/officeDocument/2006/relationships/hyperlink" Target="https://www.nfz.gov.pl/zarzadzenia-prezesa/zarzadzenia-prezesa-nfz/zarzadzenie-nr-1682021dsm,7425.html" TargetMode="External"/><Relationship Id="rId67" Type="http://schemas.openxmlformats.org/officeDocument/2006/relationships/hyperlink" Target="https://dziennikustaw.gov.pl/D2021000180401.pdf" TargetMode="External"/><Relationship Id="rId116" Type="http://schemas.openxmlformats.org/officeDocument/2006/relationships/hyperlink" Target="https://legislacja.gov.pl/docs/516/12351663/12818227/12818228/dokument522736.pdf" TargetMode="External"/><Relationship Id="rId137" Type="http://schemas.openxmlformats.org/officeDocument/2006/relationships/hyperlink" Target="file:///C:\Users\m.tomczuk\Downloads\458.pdf" TargetMode="External"/><Relationship Id="rId158" Type="http://schemas.openxmlformats.org/officeDocument/2006/relationships/hyperlink" Target="https://www.senat.gov.pl/prace/druki/record,11468.html" TargetMode="External"/><Relationship Id="rId20" Type="http://schemas.openxmlformats.org/officeDocument/2006/relationships/hyperlink" Target="https://www.nfz.gov.pl/zarzadzenia-prezesa/zarzadzenia-prezesa-nfz/zarzadzenie-nr-1742021def,7431.html" TargetMode="External"/><Relationship Id="rId41" Type="http://schemas.openxmlformats.org/officeDocument/2006/relationships/hyperlink" Target="https://legislacja.gov.pl/docs/516/12345903/12781831/12781832/dokument499708.pdf" TargetMode="External"/><Relationship Id="rId62" Type="http://schemas.openxmlformats.org/officeDocument/2006/relationships/hyperlink" Target="http://dziennikmz.mz.gov.pl/DUM_MZ/2021/78/akt.pdf" TargetMode="External"/><Relationship Id="rId83" Type="http://schemas.openxmlformats.org/officeDocument/2006/relationships/hyperlink" Target="https://legislacja.gov.pl/docs/516/12339055/12727183/12727184/dokument469275.pdf" TargetMode="External"/><Relationship Id="rId88" Type="http://schemas.openxmlformats.org/officeDocument/2006/relationships/hyperlink" Target="mailto:sekretariat.DSOZ@nfz.gov.pl" TargetMode="External"/><Relationship Id="rId111" Type="http://schemas.openxmlformats.org/officeDocument/2006/relationships/hyperlink" Target="https://dziennikustaw.gov.pl/D2021000168801.pdf" TargetMode="External"/><Relationship Id="rId132" Type="http://schemas.openxmlformats.org/officeDocument/2006/relationships/hyperlink" Target="http://www.dziennikmz.mz.gov.pl/DUM_MZ/2021/67/akt.pdf" TargetMode="External"/><Relationship Id="rId153" Type="http://schemas.openxmlformats.org/officeDocument/2006/relationships/hyperlink" Target="https://www.nfz.gov.pl/zarzadzenia-prezesa/zarzadzenia-prezesa-nfz/zarzadzenie-nr-1432021def,7405.html" TargetMode="External"/><Relationship Id="rId174" Type="http://schemas.openxmlformats.org/officeDocument/2006/relationships/hyperlink" Target="mailto:e.mianowska@mz.gov.pl" TargetMode="External"/><Relationship Id="rId179" Type="http://schemas.openxmlformats.org/officeDocument/2006/relationships/hyperlink" Target="https://www.gov.pl/web/zdrowie/komunikat-w-sprawie-zwrotow-szczepionek-przeciw-covid-19?fbclid=IwAR2zFoBAt11l8V5EA4fatbqVlDD3RwhEOskzyO1kmdA2RhJ6yH0ZOfcP948" TargetMode="External"/><Relationship Id="rId15" Type="http://schemas.openxmlformats.org/officeDocument/2006/relationships/hyperlink" Target="http://dziennikmz.mz.gov.pl/DUM_MZ/2021/81/akt.pdf" TargetMode="External"/><Relationship Id="rId36" Type="http://schemas.openxmlformats.org/officeDocument/2006/relationships/hyperlink" Target="https://www.nfz.gov.pl/zarzadzenia-prezesa/zarzadzenia-prezesa-nfz/zarzadzenie-nr-1712021dgl,7428.html" TargetMode="External"/><Relationship Id="rId57" Type="http://schemas.openxmlformats.org/officeDocument/2006/relationships/hyperlink" Target="mailto:szpital.dsoz@nfz.gov.pl" TargetMode="External"/><Relationship Id="rId106" Type="http://schemas.openxmlformats.org/officeDocument/2006/relationships/hyperlink" Target="http://dziennikmz.mz.gov.pl/DUM_MZ/2021/70/akt.pdf" TargetMode="External"/><Relationship Id="rId127" Type="http://schemas.openxmlformats.org/officeDocument/2006/relationships/hyperlink" Target="mailto:sekretariat.pr@gis.gov.pl" TargetMode="External"/><Relationship Id="rId10" Type="http://schemas.openxmlformats.org/officeDocument/2006/relationships/hyperlink" Target="https://legislacja.gov.pl/docs/516/12351250/12815152/12815153/dokument520825.pdf" TargetMode="External"/><Relationship Id="rId31" Type="http://schemas.openxmlformats.org/officeDocument/2006/relationships/hyperlink" Target="http://dziennikmz.mz.gov.pl/DUM_MZ/2021/79/akt.pdf" TargetMode="External"/><Relationship Id="rId52" Type="http://schemas.openxmlformats.org/officeDocument/2006/relationships/hyperlink" Target="https://legislacja.gov.pl/projekt/12349469" TargetMode="External"/><Relationship Id="rId73" Type="http://schemas.openxmlformats.org/officeDocument/2006/relationships/hyperlink" Target="https://www.nfz.gov.pl/zarzadzenia-prezesa/zarzadzenia-prezesa-nfz/zarzadzenie-nr-1602021dsoz,7420.html" TargetMode="External"/><Relationship Id="rId78" Type="http://schemas.openxmlformats.org/officeDocument/2006/relationships/hyperlink" Target="https://dziennikustaw.gov.pl/D2021000176501.pdf" TargetMode="External"/><Relationship Id="rId94" Type="http://schemas.openxmlformats.org/officeDocument/2006/relationships/hyperlink" Target="https://www.nfz.gov.pl/zarzadzenia-prezesa/zarzadzenia-prezesa-nfz/zarzadzenie-nr-1542021di,7414.html" TargetMode="External"/><Relationship Id="rId99" Type="http://schemas.openxmlformats.org/officeDocument/2006/relationships/hyperlink" Target="https://www.nfz.gov.pl/zarzadzenia-prezesa/zarzadzenia-prezesa-nfz/zarzadzenie-nr-1492021dsoz,7409.html" TargetMode="External"/><Relationship Id="rId101" Type="http://schemas.openxmlformats.org/officeDocument/2006/relationships/hyperlink" Target="http://dziennikmz.mz.gov.pl/DUM_MZ/2021/76/akt.pdf" TargetMode="External"/><Relationship Id="rId122" Type="http://schemas.openxmlformats.org/officeDocument/2006/relationships/hyperlink" Target="https://legislacja.gov.pl/docs/516/12351201/12814901/12814902/dokument520656.pdf" TargetMode="External"/><Relationship Id="rId143" Type="http://schemas.openxmlformats.org/officeDocument/2006/relationships/hyperlink" Target="https://legislacja.gov.pl/docs/516/12350255/12810588/12810589/dokument517613.pdf" TargetMode="External"/><Relationship Id="rId148" Type="http://schemas.openxmlformats.org/officeDocument/2006/relationships/hyperlink" Target="https://dziennikustaw.gov.pl/D2021000147601.pdf" TargetMode="External"/><Relationship Id="rId164" Type="http://schemas.openxmlformats.org/officeDocument/2006/relationships/hyperlink" Target="https://dziennikustaw.gov.pl/D2021000142101.pdf" TargetMode="External"/><Relationship Id="rId169" Type="http://schemas.openxmlformats.org/officeDocument/2006/relationships/hyperlink" Target="https://www.nfz.gov.pl/zarzadzenia-prezesa/zarzadzenia-prezesa-nfz/zarzadzenie-nr-1382021dsoz,7401.html" TargetMode="External"/><Relationship Id="rId185"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4" Type="http://schemas.microsoft.com/office/2007/relationships/stylesWithEffects" Target="stylesWithEffects.xml"/><Relationship Id="rId9" Type="http://schemas.openxmlformats.org/officeDocument/2006/relationships/hyperlink" Target="https://dziennikustaw.gov.pl/D2021000192201.pdf" TargetMode="External"/><Relationship Id="rId180"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201F-770E-40D1-AAC6-628630FC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51426</Words>
  <Characters>308562</Characters>
  <Application>Microsoft Office Word</Application>
  <DocSecurity>0</DocSecurity>
  <Lines>2571</Lines>
  <Paragraphs>718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2021-07-29T12:07:00Z</cp:lastPrinted>
  <dcterms:created xsi:type="dcterms:W3CDTF">2021-10-26T06:24:00Z</dcterms:created>
  <dcterms:modified xsi:type="dcterms:W3CDTF">2021-10-26T06:24:00Z</dcterms:modified>
</cp:coreProperties>
</file>