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4405BF08" w14:textId="77777777" w:rsidTr="00A506D2">
        <w:tc>
          <w:tcPr>
            <w:tcW w:w="352" w:type="pct"/>
          </w:tcPr>
          <w:p w14:paraId="1644BE18" w14:textId="77777777"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14:paraId="663D5B1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14:paraId="5ADD2A72"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14:paraId="71B2391E"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14:paraId="5D462EB4"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14:paraId="687AA480"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CA1712" w14:paraId="6B56BBF0" w14:textId="77777777" w:rsidTr="00A506D2">
        <w:tc>
          <w:tcPr>
            <w:tcW w:w="352" w:type="pct"/>
          </w:tcPr>
          <w:p w14:paraId="2B7E6B67"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2BEB0B90"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3274F2D"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14:paraId="46157692" w14:textId="77777777"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14:paraId="4072976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14:paraId="07264400"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14:paraId="620B6CB8" w14:textId="77777777" w:rsidR="00CA1712" w:rsidRDefault="00A2741E" w:rsidP="000E1A81">
            <w:hyperlink r:id="rId8"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14:paraId="68A21B2A" w14:textId="77777777" w:rsidTr="00A506D2">
        <w:tc>
          <w:tcPr>
            <w:tcW w:w="352" w:type="pct"/>
          </w:tcPr>
          <w:p w14:paraId="7974D202"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11A97F41"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E83A313"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w:t>
            </w:r>
            <w:r w:rsidRPr="00CA1712">
              <w:rPr>
                <w:rFonts w:ascii="Times New Roman" w:hAnsi="Times New Roman" w:cs="Times New Roman"/>
                <w:b w:val="0"/>
                <w:color w:val="auto"/>
                <w:sz w:val="20"/>
                <w:szCs w:val="20"/>
                <w:shd w:val="clear" w:color="auto" w:fill="FFFFFF"/>
              </w:rPr>
              <w:lastRenderedPageBreak/>
              <w:t>zawierania i realizacji umów w rodzaju leczenie szpitalne w zakresie chemioterapia</w:t>
            </w:r>
          </w:p>
        </w:tc>
        <w:tc>
          <w:tcPr>
            <w:tcW w:w="2115" w:type="pct"/>
          </w:tcPr>
          <w:p w14:paraId="0B13EE2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14:paraId="16A4881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4104C09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w:t>
            </w:r>
            <w:r w:rsidRPr="00144947">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w:t>
            </w:r>
          </w:p>
          <w:p w14:paraId="6E5DB84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1C73379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14:paraId="0B284D8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14:paraId="243344A8"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14:paraId="5DDDAA3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14:paraId="1BD8AB6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14:paraId="6234153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14:paraId="031F8CF2"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14:paraId="6C6ED3D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14:paraId="72C1B43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14:paraId="0C2BECD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c) </w:t>
            </w:r>
            <w:r w:rsidRPr="00144947">
              <w:rPr>
                <w:rFonts w:ascii="Times New Roman" w:eastAsia="Times New Roman" w:hAnsi="Times New Roman" w:cs="Times New Roman"/>
                <w:sz w:val="20"/>
                <w:szCs w:val="20"/>
                <w:lang w:eastAsia="pl-PL"/>
              </w:rPr>
              <w:t>usunięciu kodu GTIN dla substancji czynnej:</w:t>
            </w:r>
          </w:p>
          <w:p w14:paraId="0C28B60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14:paraId="10DB71C0"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14:paraId="4DA7925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14:paraId="30A6DBC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14:paraId="0C4AC4B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14:paraId="2B68EB9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14:paraId="732283D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14:paraId="0E28278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14:paraId="3581DCE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14:paraId="520583B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14:paraId="389A8A2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14:paraId="1BB2B40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14:paraId="31B0B99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14:paraId="63CDDD2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14:paraId="6BA9290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14:paraId="5398F7C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w:t>
            </w:r>
            <w:r w:rsidRPr="00144947">
              <w:rPr>
                <w:rFonts w:ascii="Times New Roman" w:eastAsia="Times New Roman" w:hAnsi="Times New Roman" w:cs="Times New Roman"/>
                <w:sz w:val="20"/>
                <w:szCs w:val="20"/>
                <w:lang w:eastAsia="pl-PL"/>
              </w:rPr>
              <w:lastRenderedPageBreak/>
              <w:t>objęcie refundacją i określenia ceny urzędowej leków zawartych w niniejszym zarządzeniu.</w:t>
            </w:r>
          </w:p>
          <w:p w14:paraId="2E6619C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14:paraId="1DF8DA7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14:paraId="6EE2C16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14:paraId="0C227E03" w14:textId="77777777"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14:paraId="2248FAA7"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14:paraId="64C4B008" w14:textId="77777777" w:rsidR="00CA1712" w:rsidRDefault="00A2741E" w:rsidP="000E1A81">
            <w:hyperlink r:id="rId9" w:history="1">
              <w:r w:rsidR="00CA1712">
                <w:rPr>
                  <w:rStyle w:val="Hipercze"/>
                </w:rPr>
                <w:t>Zarządzenia Prezesa NFZ / Zarządzenia Prezesa / Narodowy Fundusz Zdrowia (NFZ) – finansujemy zdrowie Polaków</w:t>
              </w:r>
            </w:hyperlink>
          </w:p>
        </w:tc>
      </w:tr>
      <w:tr w:rsidR="00CA1712" w14:paraId="4AF44653" w14:textId="77777777" w:rsidTr="00A506D2">
        <w:tc>
          <w:tcPr>
            <w:tcW w:w="352" w:type="pct"/>
          </w:tcPr>
          <w:p w14:paraId="2DF9088E"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14:paraId="45C9F173"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F4095A7"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w:t>
            </w:r>
            <w:r w:rsidRPr="00CA1712">
              <w:rPr>
                <w:rFonts w:ascii="Times New Roman" w:hAnsi="Times New Roman" w:cs="Times New Roman"/>
                <w:b w:val="0"/>
                <w:color w:val="auto"/>
                <w:sz w:val="20"/>
                <w:szCs w:val="20"/>
                <w:shd w:val="clear" w:color="auto" w:fill="FFFFFF"/>
              </w:rPr>
              <w:lastRenderedPageBreak/>
              <w:t>punkty apteczne oraz pozostałych kontrahentów</w:t>
            </w:r>
          </w:p>
        </w:tc>
        <w:tc>
          <w:tcPr>
            <w:tcW w:w="2115" w:type="pct"/>
          </w:tcPr>
          <w:p w14:paraId="1BBA0F72"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14:paraId="4BEF51EB"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14:paraId="3726857B"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14:paraId="5BDB82BE"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0F33A2AB" w14:textId="77777777" w:rsidR="00CA1712" w:rsidRDefault="00A2741E" w:rsidP="000E1A81">
            <w:hyperlink r:id="rId10" w:history="1">
              <w:r w:rsidR="00CA1712">
                <w:rPr>
                  <w:rStyle w:val="Hipercze"/>
                </w:rPr>
                <w:t>Zarządzenia Prezesa NFZ / Zarządzenia Prezesa / Narodowy Fundusz Zdrowia (NFZ) – finansujemy zdrowie Polaków</w:t>
              </w:r>
            </w:hyperlink>
          </w:p>
        </w:tc>
      </w:tr>
      <w:tr w:rsidR="00CA1712" w14:paraId="5C1AF59E" w14:textId="77777777" w:rsidTr="00A506D2">
        <w:tc>
          <w:tcPr>
            <w:tcW w:w="352" w:type="pct"/>
          </w:tcPr>
          <w:p w14:paraId="183AAD94"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1E21CEED"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20C0A81" w14:textId="77777777"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14:paraId="72FBB760"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14:paraId="3DB6C6C6"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14:paraId="27F47F29"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14:paraId="69BF0A94" w14:textId="77777777"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105C2EE"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35140545" w14:textId="77777777" w:rsidR="00CA1712" w:rsidRDefault="00A2741E" w:rsidP="000E1A81">
            <w:hyperlink r:id="rId11" w:history="1">
              <w:r w:rsidR="00CA1712">
                <w:rPr>
                  <w:rStyle w:val="Hipercze"/>
                </w:rPr>
                <w:t>Zarządzenia Prezesa NFZ / Zarządzenia Prezesa / Narodowy Fundusz Zdrowia (NFZ) – finansujemy zdrowie Polaków</w:t>
              </w:r>
            </w:hyperlink>
          </w:p>
        </w:tc>
      </w:tr>
      <w:tr w:rsidR="005756DA" w14:paraId="4AC7807C" w14:textId="77777777" w:rsidTr="00A506D2">
        <w:tc>
          <w:tcPr>
            <w:tcW w:w="352" w:type="pct"/>
          </w:tcPr>
          <w:p w14:paraId="114D882A" w14:textId="77777777"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666D7DF6" w14:textId="77777777"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8623E1" w14:textId="77777777"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w:t>
            </w:r>
            <w:r w:rsidRPr="005756DA">
              <w:rPr>
                <w:rFonts w:ascii="Times New Roman" w:hAnsi="Times New Roman" w:cs="Times New Roman"/>
                <w:b w:val="0"/>
                <w:color w:val="auto"/>
                <w:sz w:val="20"/>
                <w:szCs w:val="20"/>
                <w:shd w:val="clear" w:color="auto" w:fill="FFFFFF"/>
              </w:rPr>
              <w:lastRenderedPageBreak/>
              <w:t>Zdrowia zmieniającego rozporządzenie w sprawie wymagań dotyczących apteczek okrętowych i apteczek medycznych oraz wzoru karty zdrowia dla marynarza na statku morskim</w:t>
            </w:r>
          </w:p>
        </w:tc>
        <w:tc>
          <w:tcPr>
            <w:tcW w:w="2115" w:type="pct"/>
          </w:tcPr>
          <w:p w14:paraId="621B3C96" w14:textId="77777777"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w:t>
            </w:r>
            <w:r w:rsidRPr="005756DA">
              <w:rPr>
                <w:rFonts w:ascii="Times New Roman" w:eastAsia="Times New Roman" w:hAnsi="Times New Roman" w:cs="Times New Roman"/>
                <w:sz w:val="20"/>
                <w:szCs w:val="20"/>
                <w:lang w:eastAsia="pl-PL"/>
              </w:rPr>
              <w:lastRenderedPageBreak/>
              <w:t>produktów leczniczych i wyrobów medycznych oraz ich ewidencjonowania.</w:t>
            </w:r>
          </w:p>
          <w:p w14:paraId="49F03C21" w14:textId="77777777"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14:paraId="203F9E93" w14:textId="77777777"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21 października 2021 r. </w:t>
            </w:r>
            <w:r>
              <w:rPr>
                <w:rFonts w:ascii="Times New Roman" w:hAnsi="Times New Roman" w:cs="Times New Roman"/>
                <w:sz w:val="20"/>
                <w:szCs w:val="20"/>
              </w:rPr>
              <w:lastRenderedPageBreak/>
              <w:t>(</w:t>
            </w:r>
            <w:hyperlink r:id="rId12" w:history="1">
              <w:r w:rsidRPr="009D48A4">
                <w:rPr>
                  <w:rStyle w:val="Hipercze"/>
                </w:rPr>
                <w:t>dep-zp@mz.gov.pl</w:t>
              </w:r>
            </w:hyperlink>
            <w:r>
              <w:t xml:space="preserve">) </w:t>
            </w:r>
          </w:p>
        </w:tc>
        <w:tc>
          <w:tcPr>
            <w:tcW w:w="1174" w:type="pct"/>
          </w:tcPr>
          <w:p w14:paraId="43B3260C" w14:textId="77777777" w:rsidR="005756DA" w:rsidRDefault="00A2741E" w:rsidP="000E1A81">
            <w:hyperlink r:id="rId13" w:history="1">
              <w:r w:rsidR="005756DA">
                <w:rPr>
                  <w:rStyle w:val="Hipercze"/>
                </w:rPr>
                <w:t>Akt prawny (legislacja.gov.pl)</w:t>
              </w:r>
            </w:hyperlink>
          </w:p>
        </w:tc>
      </w:tr>
      <w:tr w:rsidR="00777A1E" w14:paraId="1F78A6B3" w14:textId="77777777" w:rsidTr="00A506D2">
        <w:tc>
          <w:tcPr>
            <w:tcW w:w="352" w:type="pct"/>
          </w:tcPr>
          <w:p w14:paraId="629904FD" w14:textId="77777777"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236145FD" w14:textId="77777777" w:rsidR="00777A1E" w:rsidRPr="00777A1E" w:rsidRDefault="00777A1E" w:rsidP="006655F6">
            <w:r>
              <w:rPr>
                <w:rFonts w:ascii="Times New Roman" w:hAnsi="Times New Roman" w:cs="Times New Roman"/>
                <w:sz w:val="20"/>
                <w:szCs w:val="20"/>
              </w:rPr>
              <w:t>Rozporządzenie Ministra Zdrowia</w:t>
            </w:r>
          </w:p>
        </w:tc>
        <w:tc>
          <w:tcPr>
            <w:tcW w:w="559" w:type="pct"/>
          </w:tcPr>
          <w:p w14:paraId="65C6B9D9" w14:textId="77777777"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14:paraId="13D4A9DA"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14:paraId="6084D8E0"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14:paraId="6380EA8E"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14:paraId="63B339FA"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14:paraId="6DC41757"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14:paraId="16C0578C"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14:paraId="6BEB61E9"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14:paraId="40180F7F"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14:paraId="76174BAF" w14:textId="77777777"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w:t>
            </w:r>
            <w:r w:rsidRPr="00777A1E">
              <w:rPr>
                <w:rFonts w:ascii="Times New Roman" w:eastAsia="Times New Roman" w:hAnsi="Times New Roman" w:cs="Times New Roman"/>
                <w:sz w:val="20"/>
                <w:szCs w:val="20"/>
                <w:lang w:eastAsia="pl-PL"/>
              </w:rPr>
              <w:lastRenderedPageBreak/>
              <w:t>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14:paraId="76BF5C87" w14:textId="77777777"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14:paraId="264D8CDF" w14:textId="77777777"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14:paraId="08221B29" w14:textId="77777777" w:rsidR="00777A1E" w:rsidRDefault="00A2741E" w:rsidP="000E1A81">
            <w:hyperlink r:id="rId14" w:history="1">
              <w:r w:rsidR="00777A1E">
                <w:rPr>
                  <w:rStyle w:val="Hipercze"/>
                </w:rPr>
                <w:t>Akt prawny (legislacja.gov.pl)</w:t>
              </w:r>
            </w:hyperlink>
          </w:p>
        </w:tc>
      </w:tr>
      <w:tr w:rsidR="00D73C1A" w14:paraId="65DA024D" w14:textId="77777777" w:rsidTr="00A506D2">
        <w:tc>
          <w:tcPr>
            <w:tcW w:w="352" w:type="pct"/>
          </w:tcPr>
          <w:p w14:paraId="729FDA58"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79886072"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E8E6A1" w14:textId="77777777"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w:t>
            </w:r>
            <w:r w:rsidRPr="00D73C1A">
              <w:rPr>
                <w:rFonts w:ascii="Times New Roman" w:hAnsi="Times New Roman" w:cs="Times New Roman"/>
                <w:b w:val="0"/>
                <w:color w:val="auto"/>
                <w:sz w:val="20"/>
                <w:szCs w:val="20"/>
                <w:shd w:val="clear" w:color="auto" w:fill="FFFFFF"/>
              </w:rPr>
              <w:lastRenderedPageBreak/>
              <w:t>zakresie zwalczania zakażeń i chorób zakaźnych, które mogą być przenoszone ze zwierząt na ludzi lub z ludzi na zwierzęta</w:t>
            </w:r>
          </w:p>
        </w:tc>
        <w:tc>
          <w:tcPr>
            <w:tcW w:w="2115" w:type="pct"/>
          </w:tcPr>
          <w:p w14:paraId="24E49A03" w14:textId="77777777"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70F531BD" w14:textId="77777777"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w:t>
            </w:r>
            <w:r w:rsidRPr="00020328">
              <w:rPr>
                <w:rFonts w:ascii="Times New Roman" w:eastAsia="Times New Roman" w:hAnsi="Times New Roman" w:cs="Times New Roman"/>
                <w:sz w:val="20"/>
                <w:szCs w:val="20"/>
                <w:lang w:eastAsia="pl-PL"/>
              </w:rPr>
              <w:lastRenderedPageBreak/>
              <w:t>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098218E6"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14:paraId="5F01DF22" w14:textId="77777777" w:rsidR="00D73C1A" w:rsidRDefault="00A2741E" w:rsidP="000E1A81">
            <w:hyperlink r:id="rId15"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14:paraId="6A0CF729" w14:textId="77777777" w:rsidTr="00A506D2">
        <w:tc>
          <w:tcPr>
            <w:tcW w:w="352" w:type="pct"/>
          </w:tcPr>
          <w:p w14:paraId="779733D6"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7EACA036"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8B210B" w14:textId="77777777"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w:t>
            </w:r>
            <w:r w:rsidRPr="00D73C1A">
              <w:rPr>
                <w:rFonts w:ascii="Times New Roman" w:hAnsi="Times New Roman" w:cs="Times New Roman"/>
                <w:b w:val="0"/>
                <w:color w:val="auto"/>
                <w:sz w:val="20"/>
                <w:szCs w:val="20"/>
                <w:shd w:val="clear" w:color="auto" w:fill="FFFFFF"/>
              </w:rPr>
              <w:lastRenderedPageBreak/>
              <w:t>z zakresu opieki psychiatrycznej i leczenia uzależnień</w:t>
            </w:r>
          </w:p>
        </w:tc>
        <w:tc>
          <w:tcPr>
            <w:tcW w:w="2115" w:type="pct"/>
          </w:tcPr>
          <w:p w14:paraId="577F6C5A" w14:textId="77777777"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14:paraId="4E6C8BDD" w14:textId="77777777"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w:t>
            </w:r>
            <w:r w:rsidRPr="00D73C1A">
              <w:rPr>
                <w:rFonts w:ascii="Times New Roman" w:eastAsia="Times New Roman" w:hAnsi="Times New Roman" w:cs="Times New Roman"/>
                <w:sz w:val="20"/>
                <w:szCs w:val="20"/>
                <w:lang w:eastAsia="pl-PL"/>
              </w:rPr>
              <w:lastRenderedPageBreak/>
              <w:t xml:space="preserve">świadczeń opieki zdrowotnej określonych w załącznikach nr 1, 4 oraz 6 do rozporządzenia, jak również nadaje nowe brzmienie załącznikowi nr 8 do rozporządzenia. </w:t>
            </w:r>
          </w:p>
          <w:p w14:paraId="353E8EF4" w14:textId="77777777"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14:paraId="3BFEEF2C" w14:textId="77777777"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14:paraId="3E2A3E3B"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6" w:history="1">
              <w:r w:rsidRPr="00046C21">
                <w:rPr>
                  <w:rStyle w:val="Hipercze"/>
                </w:rPr>
                <w:t>dep-zp@mz.gov.pl</w:t>
              </w:r>
            </w:hyperlink>
            <w:r>
              <w:t xml:space="preserve">) </w:t>
            </w:r>
          </w:p>
        </w:tc>
        <w:tc>
          <w:tcPr>
            <w:tcW w:w="1174" w:type="pct"/>
          </w:tcPr>
          <w:p w14:paraId="75A22FB4" w14:textId="77777777" w:rsidR="00D73C1A" w:rsidRDefault="00A2741E" w:rsidP="000E1A81">
            <w:hyperlink r:id="rId17" w:history="1">
              <w:r w:rsidR="00D73C1A">
                <w:rPr>
                  <w:rStyle w:val="Hipercze"/>
                </w:rPr>
                <w:t>Akt prawny (legislacja.gov.pl)</w:t>
              </w:r>
            </w:hyperlink>
          </w:p>
        </w:tc>
      </w:tr>
      <w:tr w:rsidR="008F337B" w14:paraId="26434CC9" w14:textId="77777777" w:rsidTr="00A506D2">
        <w:tc>
          <w:tcPr>
            <w:tcW w:w="352" w:type="pct"/>
          </w:tcPr>
          <w:p w14:paraId="0E72D9F5"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67203B5B"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A920A78"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 xml:space="preserve">ustawy o świadczeniach opieki zdrowotnej </w:t>
            </w:r>
            <w:r w:rsidRPr="008F337B">
              <w:rPr>
                <w:rFonts w:ascii="Times New Roman" w:hAnsi="Times New Roman" w:cs="Times New Roman"/>
                <w:b w:val="0"/>
                <w:color w:val="auto"/>
                <w:sz w:val="20"/>
                <w:szCs w:val="20"/>
                <w:shd w:val="clear" w:color="auto" w:fill="FFFFFF"/>
              </w:rPr>
              <w:lastRenderedPageBreak/>
              <w:t>finansowanych ze środków publicznych oraz niektórych innych ustaw (druki nr 1568 i 1618).</w:t>
            </w:r>
          </w:p>
        </w:tc>
        <w:tc>
          <w:tcPr>
            <w:tcW w:w="2115" w:type="pct"/>
          </w:tcPr>
          <w:p w14:paraId="2FA87377" w14:textId="77777777" w:rsidR="008F337B" w:rsidRDefault="008F337B" w:rsidP="008F3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w:t>
            </w:r>
            <w:r w:rsidRPr="00B94A88">
              <w:rPr>
                <w:rFonts w:ascii="Times New Roman" w:eastAsia="Times New Roman" w:hAnsi="Times New Roman" w:cs="Times New Roman"/>
                <w:sz w:val="20"/>
                <w:szCs w:val="20"/>
                <w:lang w:eastAsia="pl-PL"/>
              </w:rPr>
              <w:lastRenderedPageBreak/>
              <w:t>ten status</w:t>
            </w:r>
          </w:p>
          <w:p w14:paraId="6C6255D9" w14:textId="77777777" w:rsidR="008F337B" w:rsidRDefault="008F337B" w:rsidP="008F337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14:paraId="138459D3"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14:paraId="5776AE05"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14:paraId="7EFEE2C2"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14:paraId="134E30BA"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14:paraId="39B019FA" w14:textId="77777777" w:rsidR="008F337B"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w:t>
            </w:r>
            <w:r w:rsidRPr="00B94A88">
              <w:rPr>
                <w:rFonts w:ascii="Times New Roman" w:eastAsia="Times New Roman" w:hAnsi="Times New Roman" w:cs="Times New Roman"/>
                <w:sz w:val="20"/>
                <w:szCs w:val="20"/>
                <w:lang w:eastAsia="pl-PL"/>
              </w:rPr>
              <w:lastRenderedPageBreak/>
              <w:t>realizowania dostaw do Polski, gdyż będzie się to wiązało z dodatkowymi nakładami związanymi z koniecznością zapewnienia polskojęzycznych informacji na opakowaniach i ulotkach.</w:t>
            </w:r>
          </w:p>
          <w:p w14:paraId="33E14D75" w14:textId="77777777" w:rsidR="008F337B" w:rsidRDefault="008F337B" w:rsidP="008F337B">
            <w:pPr>
              <w:rPr>
                <w:rFonts w:ascii="Times New Roman" w:eastAsia="Times New Roman" w:hAnsi="Times New Roman" w:cs="Times New Roman"/>
                <w:sz w:val="20"/>
                <w:szCs w:val="20"/>
                <w:lang w:eastAsia="pl-PL"/>
              </w:rPr>
            </w:pPr>
          </w:p>
          <w:p w14:paraId="65655FD6"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14:paraId="7D1A88E1"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14:paraId="7E020E67"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14:paraId="2FEF9090" w14:textId="77777777" w:rsidR="008F337B" w:rsidRPr="00B94A8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14:paraId="1489A3A1" w14:textId="77777777" w:rsidR="008F337B" w:rsidRPr="00BC6958" w:rsidRDefault="008F337B" w:rsidP="008F337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14:paraId="7F571D9E"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Komisja Zdrowia 13 października 2021 r.</w:t>
            </w:r>
          </w:p>
        </w:tc>
        <w:tc>
          <w:tcPr>
            <w:tcW w:w="1174" w:type="pct"/>
          </w:tcPr>
          <w:p w14:paraId="4C183733" w14:textId="77777777" w:rsidR="008F337B" w:rsidRDefault="00A2741E" w:rsidP="000E1A81">
            <w:hyperlink r:id="rId18" w:history="1">
              <w:r w:rsidR="008F337B" w:rsidRPr="00D1208E">
                <w:rPr>
                  <w:rStyle w:val="Hipercze"/>
                </w:rPr>
                <w:t>https://orka.sejm.gov.pl/Druki9ka.nsf/0/1A91722CB974D5C9C1258751005B3334/%24File/1568.pdf</w:t>
              </w:r>
            </w:hyperlink>
          </w:p>
          <w:p w14:paraId="580A82A8" w14:textId="77777777" w:rsidR="008F337B" w:rsidRDefault="008F337B" w:rsidP="000E1A81"/>
        </w:tc>
      </w:tr>
      <w:tr w:rsidR="008F337B" w14:paraId="73539113" w14:textId="77777777" w:rsidTr="00A506D2">
        <w:tc>
          <w:tcPr>
            <w:tcW w:w="352" w:type="pct"/>
          </w:tcPr>
          <w:p w14:paraId="7EE5881E"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14:paraId="46A3E394"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85E8833"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w:t>
            </w:r>
            <w:r w:rsidRPr="008F337B">
              <w:rPr>
                <w:rFonts w:ascii="Times New Roman" w:hAnsi="Times New Roman" w:cs="Times New Roman"/>
                <w:b w:val="0"/>
                <w:color w:val="auto"/>
                <w:sz w:val="20"/>
                <w:szCs w:val="20"/>
                <w:shd w:val="clear" w:color="auto" w:fill="FFFFFF"/>
              </w:rPr>
              <w:lastRenderedPageBreak/>
              <w:t>2021 r. w sprawie ogólnopolskiego kardiologiczno-kardiochirurgicznego rejestru przezcewnikowego leczenia zastawek serca „POL-TaVALVE”</w:t>
            </w:r>
          </w:p>
        </w:tc>
        <w:tc>
          <w:tcPr>
            <w:tcW w:w="2115" w:type="pct"/>
          </w:tcPr>
          <w:p w14:paraId="7D9BC16C" w14:textId="77777777"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w:t>
            </w:r>
            <w:r w:rsidRPr="00BC6958">
              <w:rPr>
                <w:rFonts w:ascii="Times New Roman" w:eastAsia="Times New Roman" w:hAnsi="Times New Roman" w:cs="Times New Roman"/>
                <w:sz w:val="20"/>
                <w:szCs w:val="20"/>
                <w:lang w:eastAsia="pl-PL"/>
              </w:rPr>
              <w:lastRenderedPageBreak/>
              <w:t>skuteczności i efektywności stosowanych metod leczenia.</w:t>
            </w:r>
          </w:p>
          <w:p w14:paraId="5B585594"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66D7E6A8"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03B89759"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5B92DC6A"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2C1EB95B"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31B9B2A6"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3C0754EF"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00522B5F"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6B56871E"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w:t>
            </w:r>
            <w:r w:rsidRPr="00BC6958">
              <w:rPr>
                <w:rFonts w:ascii="Times New Roman" w:eastAsia="Times New Roman" w:hAnsi="Times New Roman" w:cs="Times New Roman"/>
                <w:sz w:val="20"/>
                <w:szCs w:val="20"/>
                <w:lang w:eastAsia="pl-PL"/>
              </w:rPr>
              <w:lastRenderedPageBreak/>
              <w:t>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718A7F29"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693D3A75"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14:paraId="6CF8905D"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14:paraId="16C73547" w14:textId="77777777" w:rsidR="008F337B" w:rsidRDefault="00A2741E" w:rsidP="000E1A81">
            <w:hyperlink r:id="rId19" w:history="1">
              <w:r w:rsidR="008F337B">
                <w:rPr>
                  <w:rStyle w:val="Hipercze"/>
                </w:rPr>
                <w:t xml:space="preserve">Rozporządzenie Ministra Zdrowia z dnia 28 września 2021 r. w sprawie ogólnopolskiego kardiologiczno-kardiochirurgicznego rejestru </w:t>
              </w:r>
              <w:r w:rsidR="008F337B">
                <w:rPr>
                  <w:rStyle w:val="Hipercze"/>
                </w:rPr>
                <w:lastRenderedPageBreak/>
                <w:t>przezcewnikowego leczenia zastawek serca „POL-TaVALVE” (dziennikustaw.gov.pl)</w:t>
              </w:r>
            </w:hyperlink>
          </w:p>
        </w:tc>
      </w:tr>
      <w:tr w:rsidR="008F337B" w14:paraId="5FC25293" w14:textId="77777777" w:rsidTr="00A506D2">
        <w:tc>
          <w:tcPr>
            <w:tcW w:w="352" w:type="pct"/>
          </w:tcPr>
          <w:p w14:paraId="67F16D27"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14:paraId="33F556B2"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60BC939" w14:textId="77777777"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w:t>
            </w:r>
            <w:r w:rsidRPr="008F337B">
              <w:rPr>
                <w:rFonts w:ascii="Times New Roman" w:hAnsi="Times New Roman" w:cs="Times New Roman"/>
                <w:b w:val="0"/>
                <w:color w:val="auto"/>
                <w:sz w:val="20"/>
                <w:szCs w:val="20"/>
                <w:shd w:val="clear" w:color="auto" w:fill="FFFFFF"/>
              </w:rPr>
              <w:lastRenderedPageBreak/>
              <w:t>podstawowa opieka zdrowotna w zakresie nocnej  i świątecznej opieki zdrowotnej</w:t>
            </w:r>
          </w:p>
        </w:tc>
        <w:tc>
          <w:tcPr>
            <w:tcW w:w="2115" w:type="pct"/>
          </w:tcPr>
          <w:p w14:paraId="6D337263"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14:paraId="69B82245"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580796E5" w14:textId="77777777"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634A343"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1C68138A" w14:textId="77777777" w:rsidR="008F337B" w:rsidRDefault="00A2741E" w:rsidP="000E1A81">
            <w:hyperlink r:id="rId20" w:history="1">
              <w:r w:rsidR="008F337B">
                <w:rPr>
                  <w:rStyle w:val="Hipercze"/>
                </w:rPr>
                <w:t>Zarządzenia Prezesa NFZ / Zarządzenia Prezesa / Narodowy Fundusz Zdrowia (NFZ) – finansujemy zdrowie Polaków</w:t>
              </w:r>
            </w:hyperlink>
          </w:p>
        </w:tc>
      </w:tr>
      <w:tr w:rsidR="00212CCA" w14:paraId="193B8FEA" w14:textId="77777777" w:rsidTr="00A506D2">
        <w:tc>
          <w:tcPr>
            <w:tcW w:w="352" w:type="pct"/>
          </w:tcPr>
          <w:p w14:paraId="3CE6A925"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77F3BED0"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CEC319D" w14:textId="77777777"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14:paraId="6C383E3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44B75FD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14:paraId="49E51DE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75B96D2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14:paraId="659E490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9 pkt 4 treści zarządzenia, w związku z dodaniem do obwieszczenia refundacyjnego programu lekowego: „Leczenie pacjentów z chorobą Wilsona” oraz koniecznością </w:t>
            </w:r>
            <w:r w:rsidRPr="004D7BA5">
              <w:rPr>
                <w:rFonts w:ascii="Times New Roman" w:eastAsia="Times New Roman" w:hAnsi="Times New Roman" w:cs="Times New Roman"/>
                <w:sz w:val="20"/>
                <w:szCs w:val="20"/>
                <w:lang w:eastAsia="pl-PL"/>
              </w:rPr>
              <w:lastRenderedPageBreak/>
              <w:t>kwalifikacji pacjentów do terapii substancją czynną tisagenlecleucel w ramach programu lekowego „Leczenie chorych na ostrą białaczkę limfoblastyczną” przez Zespół Koordynacyjny ds. CAR-T;</w:t>
            </w:r>
          </w:p>
          <w:p w14:paraId="0463E71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14:paraId="07A404A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14:paraId="3A53BBE9" w14:textId="77777777"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14:paraId="395C9E6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14:paraId="3136B20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14:paraId="1A59C9F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14:paraId="01A5940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14:paraId="482D543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14:paraId="0E05BE1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14:paraId="0D5A6F6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6171276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14:paraId="4D01517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14:paraId="46A015A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14:paraId="066BA16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14:paraId="6A1CB2C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14:paraId="6A046B5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14:paraId="4697C98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14:paraId="481ABB0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14:paraId="4485A88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14:paraId="569E0FB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14:paraId="08CEAC5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7BB54D0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755A03A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14:paraId="194BEBC7"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- 5.08.09.0000006 Bevacizumabum - GTIN: 08436596260047, 08436596260030,</w:t>
            </w:r>
          </w:p>
          <w:p w14:paraId="10A0E260"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- 5.08.09.0000048 Palivizumabum - GTIN: 05000456067720, 05000456067713,</w:t>
            </w:r>
          </w:p>
          <w:p w14:paraId="07192F61"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- 5.08.09.0000057 Sorafenibum - GTIN: 07613421047009, 05909991440145,</w:t>
            </w:r>
          </w:p>
          <w:p w14:paraId="6C3B600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14:paraId="3CE094F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14:paraId="0EBF6AB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14:paraId="606E0E6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14:paraId="792A6A8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14:paraId="6B461F0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14:paraId="7C2122C9"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- 5.08.09.0000086 Ipilimumabum – GTIN: 05909990872442, 05909990872459,</w:t>
            </w:r>
          </w:p>
          <w:p w14:paraId="1E4071BB"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- 5.08.09.0000205 Lanadelumabum – GTIN: 05060147027884,</w:t>
            </w:r>
          </w:p>
          <w:p w14:paraId="2957DE63"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- 5.08.09.0000206 Mercaptamini bitartras – GTIN: 05909990213689,</w:t>
            </w:r>
          </w:p>
          <w:p w14:paraId="2AFB526F"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- 5.08.09.0000207 Tisagenlecleucelum – GTIN: 05909991384388,</w:t>
            </w:r>
          </w:p>
          <w:p w14:paraId="06963755" w14:textId="77777777" w:rsidR="00212CCA" w:rsidRPr="00885A22" w:rsidRDefault="00212CCA" w:rsidP="00212CCA">
            <w:pPr>
              <w:shd w:val="clear" w:color="auto" w:fill="FFFFFF"/>
              <w:rPr>
                <w:rFonts w:ascii="Times New Roman" w:eastAsia="Times New Roman" w:hAnsi="Times New Roman" w:cs="Times New Roman"/>
                <w:sz w:val="20"/>
                <w:szCs w:val="20"/>
                <w:lang w:val="en-US" w:eastAsia="pl-PL"/>
              </w:rPr>
            </w:pPr>
            <w:r w:rsidRPr="00885A22">
              <w:rPr>
                <w:rFonts w:ascii="Times New Roman" w:eastAsia="Times New Roman" w:hAnsi="Times New Roman" w:cs="Times New Roman"/>
                <w:sz w:val="20"/>
                <w:szCs w:val="20"/>
                <w:lang w:val="en-US" w:eastAsia="pl-PL"/>
              </w:rPr>
              <w:t>- 5.08.09.0000208 Trientinum tetrahydrochloridum – GTIN: 05350626000102,</w:t>
            </w:r>
          </w:p>
          <w:p w14:paraId="4BD5648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547EBF8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14:paraId="1D85624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2117E9E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14:paraId="2D76026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14:paraId="234763C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14:paraId="04CB261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zakresu dla programu B.120. z „Leczenie </w:t>
            </w:r>
            <w:r w:rsidRPr="004D7BA5">
              <w:rPr>
                <w:rFonts w:ascii="Times New Roman" w:eastAsia="Times New Roman" w:hAnsi="Times New Roman" w:cs="Times New Roman"/>
                <w:sz w:val="20"/>
                <w:szCs w:val="20"/>
                <w:lang w:eastAsia="pl-PL"/>
              </w:rPr>
              <w:lastRenderedPageBreak/>
              <w:t>cukrzycowego obrzęku plamki (DME)” na „Leczenie chorych na cukrzycowy obrzęk plamki (DME)”;</w:t>
            </w:r>
          </w:p>
          <w:p w14:paraId="008098D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14:paraId="6075610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121918D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67DB1C1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5BD08CD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6AB81E0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14:paraId="34659B8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14:paraId="390D97B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14:paraId="5981138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14:paraId="47D60A2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14:paraId="7950BFF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14:paraId="29E1C80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55C408F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5C98C3B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6B9866F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50B21F3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5C65526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14:paraId="361650A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14:paraId="11218C8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14:paraId="4F182FA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w:t>
            </w:r>
            <w:r w:rsidRPr="004D7BA5">
              <w:rPr>
                <w:rFonts w:ascii="Times New Roman" w:eastAsia="Times New Roman" w:hAnsi="Times New Roman" w:cs="Times New Roman"/>
                <w:sz w:val="20"/>
                <w:szCs w:val="20"/>
                <w:lang w:eastAsia="pl-PL"/>
              </w:rPr>
              <w:lastRenderedPageBreak/>
              <w:t>chorób ultrarzadkich oraz weryfikację jego skuteczności, w związku ze zmianami wprowadzonymi w obwieszczeniu refundacyjnym;</w:t>
            </w:r>
          </w:p>
          <w:p w14:paraId="6DE88D4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14:paraId="0D81C44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14:paraId="4654853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14:paraId="3387F84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14:paraId="024DBA4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14:paraId="7AF1006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14:paraId="0AA84C0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14:paraId="757886C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14:paraId="2BD72D8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14:paraId="78FB48F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14:paraId="5B2B4EA0" w14:textId="77777777"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w:t>
            </w:r>
            <w:r w:rsidRPr="004D7BA5">
              <w:rPr>
                <w:rFonts w:ascii="Times New Roman" w:eastAsia="Times New Roman" w:hAnsi="Times New Roman" w:cs="Times New Roman"/>
                <w:sz w:val="20"/>
                <w:szCs w:val="20"/>
                <w:lang w:eastAsia="pl-PL"/>
              </w:rPr>
              <w:lastRenderedPageBreak/>
              <w:t>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277425C5" w14:textId="77777777"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14:paraId="2DD9C1A5"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14:paraId="15E6B0EF"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14:paraId="4E1E7A12" w14:textId="77777777"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14:paraId="023DD5B1" w14:textId="77777777" w:rsidR="00212CCA" w:rsidRDefault="00A2741E" w:rsidP="000E1A81">
            <w:hyperlink r:id="rId21" w:history="1">
              <w:r w:rsidR="00212CCA">
                <w:rPr>
                  <w:rStyle w:val="Hipercze"/>
                </w:rPr>
                <w:t>Zarządzenia Prezesa NFZ / Zarządzenia Prezesa / Narodowy Fundusz Zdrowia (NFZ) – finansujemy zdrowie Polaków</w:t>
              </w:r>
            </w:hyperlink>
          </w:p>
        </w:tc>
      </w:tr>
      <w:tr w:rsidR="00212CCA" w14:paraId="29DA75AC" w14:textId="77777777" w:rsidTr="00A506D2">
        <w:tc>
          <w:tcPr>
            <w:tcW w:w="352" w:type="pct"/>
          </w:tcPr>
          <w:p w14:paraId="1D0CC8B9"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14:paraId="0E7D1AFB"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080C461" w14:textId="77777777"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14:paraId="16FABC18"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14:paraId="2C0EAC21"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49EE256F" w14:textId="77777777"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01EFD0C" w14:textId="77777777"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4FDE9A83" w14:textId="77777777" w:rsidR="00212CCA" w:rsidRDefault="00A2741E" w:rsidP="000E1A81">
            <w:hyperlink r:id="rId22" w:history="1">
              <w:r w:rsidR="00212CCA">
                <w:rPr>
                  <w:rStyle w:val="Hipercze"/>
                </w:rPr>
                <w:t>Zarządzenia Prezesa NFZ / Zarządzenia Prezesa / Narodowy Fundusz Zdrowia (NFZ) – finansujemy zdrowie Polaków</w:t>
              </w:r>
            </w:hyperlink>
          </w:p>
        </w:tc>
      </w:tr>
      <w:tr w:rsidR="009F40FB" w14:paraId="384EF2E1" w14:textId="77777777" w:rsidTr="00A506D2">
        <w:tc>
          <w:tcPr>
            <w:tcW w:w="352" w:type="pct"/>
          </w:tcPr>
          <w:p w14:paraId="3CE11868"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22722E37"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163C50E" w14:textId="77777777"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9F40FB">
              <w:rPr>
                <w:rFonts w:ascii="Times New Roman" w:hAnsi="Times New Roman" w:cs="Times New Roman"/>
                <w:b w:val="0"/>
                <w:color w:val="auto"/>
                <w:sz w:val="20"/>
                <w:szCs w:val="20"/>
                <w:shd w:val="clear" w:color="auto" w:fill="FFFFFF"/>
              </w:rPr>
              <w:t xml:space="preserve">w sprawie programu pilotażowego w zakresie kompleksowej </w:t>
            </w:r>
            <w:r w:rsidRPr="009F40FB">
              <w:rPr>
                <w:rFonts w:ascii="Times New Roman" w:hAnsi="Times New Roman" w:cs="Times New Roman"/>
                <w:b w:val="0"/>
                <w:color w:val="auto"/>
                <w:sz w:val="20"/>
                <w:szCs w:val="20"/>
                <w:shd w:val="clear" w:color="auto" w:fill="FFFFFF"/>
              </w:rPr>
              <w:lastRenderedPageBreak/>
              <w:t>opieki specjalistycznej nad świadczeniobiorcami leczonymi z powodu otyłości olbrzymiej KOS-BAR</w:t>
            </w:r>
          </w:p>
        </w:tc>
        <w:tc>
          <w:tcPr>
            <w:tcW w:w="2115" w:type="pct"/>
          </w:tcPr>
          <w:p w14:paraId="3B8B7218"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w:t>
            </w:r>
            <w:r w:rsidRPr="002103C6">
              <w:rPr>
                <w:rFonts w:ascii="Times New Roman" w:eastAsia="Times New Roman" w:hAnsi="Times New Roman" w:cs="Times New Roman"/>
                <w:sz w:val="20"/>
                <w:szCs w:val="20"/>
                <w:lang w:eastAsia="pl-PL"/>
              </w:rPr>
              <w:lastRenderedPageBreak/>
              <w:t xml:space="preserve">otyłością. Celem programu jest także ocena nowego modelu kompleksowej opieki specjalistycznej nad grupą świadczeniobiorców z otyłością olbrzymią pod względem efektywności organizacyjnej. </w:t>
            </w:r>
          </w:p>
          <w:p w14:paraId="6FA4CB8C"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14:paraId="2021A8FB"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14:paraId="465C670C"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14:paraId="61EA043C"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14:paraId="69B15992"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14:paraId="53C625D5"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14:paraId="73A63684"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14:paraId="4A86537F" w14:textId="77777777"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14:paraId="1E3E1E8F" w14:textId="77777777"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Powyższe działania zostały podjęte w ramach realizacji celu nr 2 </w:t>
            </w:r>
            <w:r w:rsidRPr="002103C6">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tc>
        <w:tc>
          <w:tcPr>
            <w:tcW w:w="448" w:type="pct"/>
          </w:tcPr>
          <w:p w14:paraId="50270B3F" w14:textId="77777777"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18 października 2021 r. (</w:t>
            </w:r>
            <w:hyperlink r:id="rId23"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14:paraId="04E74BAE" w14:textId="77777777" w:rsidR="009F40FB" w:rsidRDefault="00A2741E" w:rsidP="000E1A81">
            <w:hyperlink r:id="rId24" w:history="1">
              <w:r w:rsidR="002103C6">
                <w:rPr>
                  <w:rStyle w:val="Hipercze"/>
                </w:rPr>
                <w:t>Projekty zarządzeń / Zarządzenia Prezesa / Narodowy Fundusz Zdrowia (NFZ) – finansujemy zdrowie Polaków</w:t>
              </w:r>
            </w:hyperlink>
          </w:p>
        </w:tc>
      </w:tr>
      <w:tr w:rsidR="009F40FB" w14:paraId="6A896330" w14:textId="77777777" w:rsidTr="00A506D2">
        <w:tc>
          <w:tcPr>
            <w:tcW w:w="352" w:type="pct"/>
          </w:tcPr>
          <w:p w14:paraId="47C88312"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14:paraId="72592181"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0673524" w14:textId="77777777"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14:paraId="726E99D7" w14:textId="77777777"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14:paraId="1810BF4D" w14:textId="77777777"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14:paraId="5587998E" w14:textId="77777777"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14:paraId="4E1AB959" w14:textId="77777777"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14:paraId="72456039" w14:textId="77777777" w:rsidR="009F40FB" w:rsidRDefault="00A2741E" w:rsidP="000E1A81">
            <w:hyperlink r:id="rId25"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A06754" w14:paraId="4ABBD3D9" w14:textId="77777777" w:rsidTr="00A506D2">
        <w:tc>
          <w:tcPr>
            <w:tcW w:w="352" w:type="pct"/>
          </w:tcPr>
          <w:p w14:paraId="33AF2BA3" w14:textId="77777777" w:rsidR="00A06754" w:rsidRDefault="00A06754"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6229E813" w14:textId="77777777" w:rsidR="00A06754" w:rsidRDefault="00A06754"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CB91543" w14:textId="77777777" w:rsidR="00A06754" w:rsidRPr="00020328" w:rsidRDefault="00A06754" w:rsidP="008930E8">
            <w:pPr>
              <w:pStyle w:val="Nagwek1"/>
              <w:outlineLvl w:val="0"/>
              <w:rPr>
                <w:rFonts w:ascii="Times New Roman" w:hAnsi="Times New Roman" w:cs="Times New Roman"/>
                <w:b w:val="0"/>
                <w:color w:val="auto"/>
                <w:sz w:val="20"/>
                <w:szCs w:val="20"/>
                <w:shd w:val="clear" w:color="auto" w:fill="FFFFFF"/>
              </w:rPr>
            </w:pPr>
            <w:r w:rsidRPr="00A06754">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6371AEE9" w14:textId="77777777"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14:paraId="1B501F5A" w14:textId="77777777"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14:paraId="6BCF7917" w14:textId="77777777" w:rsid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14:paraId="11654671" w14:textId="77777777"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p>
          <w:p w14:paraId="754C23DB" w14:textId="77777777" w:rsidR="00A06754" w:rsidRPr="00A06754" w:rsidRDefault="00A06754" w:rsidP="00A0675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 xml:space="preserve">zastąpienie w § 16 ust. 4f załącznika do OWU wyrazów „cena punktu” wyrazami „cena jednostkowa” oraz dodanie pozostałych </w:t>
            </w:r>
            <w:r w:rsidRPr="00A06754">
              <w:rPr>
                <w:rFonts w:ascii="Times New Roman" w:eastAsia="Times New Roman" w:hAnsi="Times New Roman" w:cs="Times New Roman"/>
                <w:sz w:val="20"/>
                <w:szCs w:val="20"/>
                <w:lang w:eastAsia="pl-PL"/>
              </w:rPr>
              <w:lastRenderedPageBreak/>
              <w:t>sposobów rozliczenia świadczeń opieki zdrowotnej określonych w OWU, aby przepis obejmował wszystkie przypadki wzrostu wyceny świadczeń opieki zdrowotnej;</w:t>
            </w:r>
          </w:p>
          <w:p w14:paraId="05087B5A" w14:textId="77777777" w:rsidR="00A06754" w:rsidRPr="00A06754"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14:paraId="3170E9AA" w14:textId="77777777" w:rsidR="00A06754" w:rsidRPr="00020328" w:rsidRDefault="00A06754" w:rsidP="00A06754">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14:paraId="53C0DA8D" w14:textId="77777777" w:rsidR="00A06754"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18 października 2021 r. (</w:t>
            </w:r>
            <w:hyperlink r:id="rId26" w:history="1">
              <w:r w:rsidRPr="00EE2CC7">
                <w:rPr>
                  <w:rStyle w:val="Hipercze"/>
                </w:rPr>
                <w:t>k.makowiecka@mz.gov.pl</w:t>
              </w:r>
            </w:hyperlink>
            <w:r>
              <w:t xml:space="preserve">) </w:t>
            </w:r>
          </w:p>
        </w:tc>
        <w:tc>
          <w:tcPr>
            <w:tcW w:w="1174" w:type="pct"/>
          </w:tcPr>
          <w:p w14:paraId="288D2B1E" w14:textId="77777777" w:rsidR="00A06754" w:rsidRDefault="00A2741E" w:rsidP="000E1A81">
            <w:hyperlink r:id="rId27" w:history="1">
              <w:r w:rsidR="00A06754">
                <w:rPr>
                  <w:rStyle w:val="Hipercze"/>
                </w:rPr>
                <w:t>Akt prawny (legislacja.gov.pl)</w:t>
              </w:r>
            </w:hyperlink>
          </w:p>
        </w:tc>
      </w:tr>
      <w:tr w:rsidR="00023F5B" w14:paraId="7BCFC85D" w14:textId="77777777" w:rsidTr="00A506D2">
        <w:tc>
          <w:tcPr>
            <w:tcW w:w="352" w:type="pct"/>
          </w:tcPr>
          <w:p w14:paraId="22BAFD48"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7A9377A3"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61A92C" w14:textId="77777777"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6BA3A152" w14:textId="77777777"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7F70CAA9" w14:textId="77777777"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w:t>
            </w:r>
            <w:r w:rsidRPr="00020328">
              <w:rPr>
                <w:rFonts w:ascii="Times New Roman" w:eastAsia="Times New Roman" w:hAnsi="Times New Roman" w:cs="Times New Roman"/>
                <w:sz w:val="20"/>
                <w:szCs w:val="20"/>
                <w:lang w:eastAsia="pl-PL"/>
              </w:rPr>
              <w:lastRenderedPageBreak/>
              <w:t>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251BA99C" w14:textId="77777777"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14:paraId="31469506" w14:textId="77777777" w:rsidR="00023F5B" w:rsidRDefault="00A2741E" w:rsidP="000E1A81">
            <w:hyperlink r:id="rId28" w:history="1">
              <w:r w:rsidR="00A06754">
                <w:rPr>
                  <w:rStyle w:val="Hipercze"/>
                </w:rPr>
                <w:t>Projekt (legislacja.gov.pl)</w:t>
              </w:r>
            </w:hyperlink>
          </w:p>
        </w:tc>
      </w:tr>
      <w:tr w:rsidR="00023F5B" w14:paraId="2B1F38D6" w14:textId="77777777" w:rsidTr="00A506D2">
        <w:tc>
          <w:tcPr>
            <w:tcW w:w="352" w:type="pct"/>
          </w:tcPr>
          <w:p w14:paraId="6D469909"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4869D4D9"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F1755F0" w14:textId="77777777"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14:paraId="5D488824" w14:textId="77777777"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429BB082"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69CF467D"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4FD00C64"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w:t>
            </w:r>
            <w:r w:rsidRPr="00023F5B">
              <w:rPr>
                <w:rFonts w:ascii="Times New Roman" w:eastAsia="Times New Roman" w:hAnsi="Times New Roman" w:cs="Times New Roman"/>
                <w:sz w:val="20"/>
                <w:szCs w:val="20"/>
                <w:lang w:eastAsia="pl-PL"/>
              </w:rPr>
              <w:lastRenderedPageBreak/>
              <w:t xml:space="preserve">obserwacji w podmiocie leczniczym. Efektem prac komisji jest wydanie orzeczenia w przedmiocie niezdolności farmaceuty do wykonywania zawodu, lub wykonywania ściśle określonych czynności ze względu na stan zdrowia. </w:t>
            </w:r>
          </w:p>
          <w:p w14:paraId="7B783024" w14:textId="77777777"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4CDBD0C9" w14:textId="77777777"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14:paraId="27E584AA" w14:textId="77777777" w:rsidR="00023F5B" w:rsidRDefault="00A2741E" w:rsidP="000E1A81">
            <w:hyperlink r:id="rId29" w:anchor="12795116" w:history="1">
              <w:r w:rsidR="00023F5B">
                <w:rPr>
                  <w:rStyle w:val="Hipercze"/>
                </w:rPr>
                <w:t>Projekt (legislacja.gov.pl)</w:t>
              </w:r>
            </w:hyperlink>
          </w:p>
        </w:tc>
      </w:tr>
      <w:tr w:rsidR="002D1BDE" w14:paraId="2F6A14DF" w14:textId="77777777" w:rsidTr="00A506D2">
        <w:tc>
          <w:tcPr>
            <w:tcW w:w="352" w:type="pct"/>
          </w:tcPr>
          <w:p w14:paraId="67D443BB" w14:textId="77777777" w:rsidR="002D1BDE" w:rsidRDefault="002D1BDE"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55373C8B" w14:textId="77777777" w:rsidR="002D1BDE" w:rsidRDefault="002D1BDE"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31A71A5" w14:textId="77777777" w:rsidR="002D1BDE" w:rsidRDefault="002D1BDE" w:rsidP="008930E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14:paraId="688695EA"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14:paraId="0E321D15" w14:textId="77777777" w:rsidR="002D1BDE"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14:paraId="339277C3"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w:t>
            </w:r>
            <w:r w:rsidRPr="0054537B">
              <w:rPr>
                <w:rFonts w:ascii="Times New Roman" w:eastAsia="Times New Roman" w:hAnsi="Times New Roman" w:cs="Times New Roman"/>
                <w:sz w:val="20"/>
                <w:szCs w:val="20"/>
                <w:lang w:eastAsia="pl-PL"/>
              </w:rPr>
              <w:lastRenderedPageBreak/>
              <w:t>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14:paraId="1509321C"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14:paraId="1CD40D7A"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14:paraId="0E15C8BB"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74C26561" w14:textId="77777777"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60B823F6" w14:textId="77777777" w:rsidR="002D1BDE" w:rsidRPr="008930E8" w:rsidRDefault="002D1BDE" w:rsidP="002D1BDE">
            <w:pPr>
              <w:pStyle w:val="NormalnyWeb"/>
              <w:spacing w:after="0"/>
              <w:rPr>
                <w:color w:val="000000"/>
                <w:sz w:val="20"/>
                <w:szCs w:val="20"/>
              </w:rPr>
            </w:pPr>
            <w:r w:rsidRPr="0054537B">
              <w:rPr>
                <w:sz w:val="20"/>
                <w:szCs w:val="20"/>
              </w:rPr>
              <w:lastRenderedPageBreak/>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14:paraId="13487999" w14:textId="77777777" w:rsidR="002D1BDE" w:rsidRDefault="002D1BDE"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na posiedzenie Sejmu</w:t>
            </w:r>
          </w:p>
        </w:tc>
        <w:tc>
          <w:tcPr>
            <w:tcW w:w="1174" w:type="pct"/>
          </w:tcPr>
          <w:p w14:paraId="5E6DA544" w14:textId="77777777" w:rsidR="002D1BDE" w:rsidRDefault="00A2741E" w:rsidP="000E1A81">
            <w:hyperlink r:id="rId30" w:history="1">
              <w:r w:rsidR="002D1BDE">
                <w:rPr>
                  <w:rStyle w:val="Hipercze"/>
                </w:rPr>
                <w:t>1631.pdf (sejm.gov.pl)</w:t>
              </w:r>
            </w:hyperlink>
          </w:p>
        </w:tc>
      </w:tr>
      <w:tr w:rsidR="008930E8" w14:paraId="157404E5" w14:textId="77777777" w:rsidTr="00A506D2">
        <w:tc>
          <w:tcPr>
            <w:tcW w:w="352" w:type="pct"/>
          </w:tcPr>
          <w:p w14:paraId="13AF6975"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14:paraId="4B6D7B0E"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216A1DA" w14:textId="77777777"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14:paraId="794BF2E5" w14:textId="77777777"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w:t>
            </w:r>
            <w:r w:rsidRPr="008930E8">
              <w:rPr>
                <w:color w:val="000000"/>
                <w:sz w:val="20"/>
                <w:szCs w:val="20"/>
              </w:rPr>
              <w:lastRenderedPageBreak/>
              <w:t>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14:paraId="71B23F10"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31"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5E2A3D06" w14:textId="77777777" w:rsidR="008930E8" w:rsidRDefault="00A2741E" w:rsidP="000E1A81">
            <w:hyperlink r:id="rId32" w:history="1">
              <w:r w:rsidR="008930E8">
                <w:rPr>
                  <w:rStyle w:val="Hipercze"/>
                </w:rPr>
                <w:t>Projekty zarządzeń / Zarządzenia Prezesa / Narodowy Fundusz Zdrowia (NFZ) – finansujemy zdrowie Polaków</w:t>
              </w:r>
            </w:hyperlink>
          </w:p>
        </w:tc>
      </w:tr>
      <w:tr w:rsidR="008930E8" w14:paraId="43A21D36" w14:textId="77777777" w:rsidTr="00A506D2">
        <w:tc>
          <w:tcPr>
            <w:tcW w:w="352" w:type="pct"/>
          </w:tcPr>
          <w:p w14:paraId="1EEC8662"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72EC1220"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5803C20" w14:textId="77777777" w:rsidR="008930E8" w:rsidRPr="002D6BAA"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 xml:space="preserve">go </w:t>
            </w:r>
            <w:r w:rsidRPr="008930E8">
              <w:rPr>
                <w:rFonts w:ascii="Times New Roman" w:hAnsi="Times New Roman" w:cs="Times New Roman"/>
                <w:b w:val="0"/>
                <w:color w:val="auto"/>
                <w:sz w:val="20"/>
                <w:szCs w:val="20"/>
                <w:shd w:val="clear" w:color="auto" w:fill="FFFFFF"/>
              </w:rPr>
              <w:t xml:space="preserve">zarządzenie w sprawie </w:t>
            </w:r>
            <w:r w:rsidRPr="008930E8">
              <w:rPr>
                <w:rFonts w:ascii="Times New Roman" w:hAnsi="Times New Roman" w:cs="Times New Roman"/>
                <w:b w:val="0"/>
                <w:color w:val="auto"/>
                <w:sz w:val="20"/>
                <w:szCs w:val="20"/>
                <w:shd w:val="clear" w:color="auto" w:fill="FFFFFF"/>
              </w:rPr>
              <w:lastRenderedPageBreak/>
              <w:t>warunków umów o udzielanie onkologicznych świadczeń kompleksowych</w:t>
            </w:r>
          </w:p>
        </w:tc>
        <w:tc>
          <w:tcPr>
            <w:tcW w:w="2115" w:type="pct"/>
          </w:tcPr>
          <w:p w14:paraId="038F840D" w14:textId="77777777" w:rsidR="008930E8" w:rsidRPr="002D6BAA" w:rsidRDefault="008930E8" w:rsidP="008930E8">
            <w:pPr>
              <w:pStyle w:val="NormalnyWeb"/>
              <w:spacing w:after="0"/>
              <w:rPr>
                <w:color w:val="000000"/>
                <w:sz w:val="20"/>
                <w:szCs w:val="20"/>
              </w:rPr>
            </w:pPr>
            <w:r w:rsidRPr="008930E8">
              <w:rPr>
                <w:color w:val="000000"/>
                <w:sz w:val="20"/>
                <w:szCs w:val="20"/>
              </w:rPr>
              <w:lastRenderedPageBreak/>
              <w:t>Zarządzenie stanowi wykonanie upoważnienia ustawowego zawartego w art. 146 ust. 1 ustawy z dnia 27 sierpnia 2004 r. o świadczeniach opieki zdrowotnej finansowanych ze środków publicznych (Dz. U. z 2021 r. poz. 1285, z późn. zm.).</w:t>
            </w:r>
            <w:r>
              <w:rPr>
                <w:color w:val="000000"/>
                <w:sz w:val="20"/>
                <w:szCs w:val="20"/>
              </w:rPr>
              <w:t xml:space="preserve"> </w:t>
            </w:r>
            <w:r>
              <w:rPr>
                <w:color w:val="000000"/>
                <w:sz w:val="20"/>
                <w:szCs w:val="20"/>
              </w:rPr>
              <w:br/>
            </w:r>
            <w:r w:rsidRPr="008930E8">
              <w:rPr>
                <w:color w:val="000000"/>
                <w:sz w:val="20"/>
                <w:szCs w:val="20"/>
              </w:rPr>
              <w:t xml:space="preserve">Niniejsze zarządzenie zmieniające zarządzenie Nr 70/2021/DSOZ Prezesa Narodowego Funduszu Zdrowia z dnia 15 kwietnia 2021 r. w sprawie warunków umów o udzielanie onkologicznych świadczeń </w:t>
            </w:r>
            <w:r w:rsidRPr="008930E8">
              <w:rPr>
                <w:color w:val="000000"/>
                <w:sz w:val="20"/>
                <w:szCs w:val="20"/>
              </w:rPr>
              <w:lastRenderedPageBreak/>
              <w:t>kompleksowych, zmienione zarządzeniem Nr 95/2021/DSOZ Prezesa Narodowego Funduszu Zdrowia z dnia 27 maja 2021 r. oraz zarządzeniem Nr 132/2021/DSOZ Prezesa Narodowego Funduszu Zdrowia z dnia 9 lipca 2021 r., wprowadza następujące zmiany:</w:t>
            </w:r>
            <w:r>
              <w:rPr>
                <w:color w:val="000000"/>
                <w:sz w:val="20"/>
                <w:szCs w:val="20"/>
              </w:rPr>
              <w:br/>
            </w:r>
            <w:r w:rsidRPr="008930E8">
              <w:rPr>
                <w:color w:val="000000"/>
                <w:sz w:val="20"/>
                <w:szCs w:val="20"/>
              </w:rPr>
              <w:t>1.</w:t>
            </w:r>
            <w:r>
              <w:rPr>
                <w:color w:val="000000"/>
                <w:sz w:val="20"/>
                <w:szCs w:val="20"/>
              </w:rPr>
              <w:t xml:space="preserve"> </w:t>
            </w:r>
            <w:r w:rsidRPr="008930E8">
              <w:rPr>
                <w:color w:val="000000"/>
                <w:sz w:val="20"/>
                <w:szCs w:val="20"/>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w:t>
            </w:r>
            <w:r>
              <w:rPr>
                <w:color w:val="000000"/>
                <w:sz w:val="20"/>
                <w:szCs w:val="20"/>
              </w:rPr>
              <w:t xml:space="preserve"> chorych z mutacją BRCA1/BRCA2.</w:t>
            </w:r>
            <w:r>
              <w:rPr>
                <w:color w:val="000000"/>
                <w:sz w:val="20"/>
                <w:szCs w:val="20"/>
              </w:rPr>
              <w:br/>
            </w:r>
            <w:r w:rsidRPr="008930E8">
              <w:rPr>
                <w:color w:val="000000"/>
                <w:sz w:val="20"/>
                <w:szCs w:val="20"/>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w:t>
            </w:r>
            <w:r>
              <w:rPr>
                <w:color w:val="000000"/>
                <w:sz w:val="20"/>
                <w:szCs w:val="20"/>
              </w:rPr>
              <w:t>czny - w trybie ambulatoryjnym.</w:t>
            </w:r>
            <w:r>
              <w:rPr>
                <w:color w:val="000000"/>
                <w:sz w:val="20"/>
                <w:szCs w:val="20"/>
              </w:rPr>
              <w:br/>
            </w:r>
            <w:r w:rsidRPr="008930E8">
              <w:rPr>
                <w:color w:val="000000"/>
                <w:sz w:val="20"/>
                <w:szCs w:val="20"/>
              </w:rPr>
              <w:t>Na zasadzie symetryzacji zmianie uległy odpowiednio pr</w:t>
            </w:r>
            <w:r>
              <w:rPr>
                <w:color w:val="000000"/>
                <w:sz w:val="20"/>
                <w:szCs w:val="20"/>
              </w:rPr>
              <w:t xml:space="preserve">zepisy § 18 pkt </w:t>
            </w:r>
            <w:r>
              <w:rPr>
                <w:color w:val="000000"/>
                <w:sz w:val="20"/>
                <w:szCs w:val="20"/>
              </w:rPr>
              <w:lastRenderedPageBreak/>
              <w:t>13 zarządzenia.</w:t>
            </w:r>
            <w:r>
              <w:rPr>
                <w:color w:val="000000"/>
                <w:sz w:val="20"/>
                <w:szCs w:val="20"/>
              </w:rPr>
              <w:br/>
            </w:r>
            <w:r w:rsidRPr="008930E8">
              <w:rPr>
                <w:color w:val="000000"/>
                <w:sz w:val="20"/>
                <w:szCs w:val="20"/>
              </w:rPr>
              <w:t>2</w:t>
            </w:r>
            <w:r>
              <w:rPr>
                <w:color w:val="000000"/>
                <w:sz w:val="20"/>
                <w:szCs w:val="20"/>
              </w:rPr>
              <w:t xml:space="preserve"> </w:t>
            </w:r>
            <w:r w:rsidRPr="008930E8">
              <w:rPr>
                <w:color w:val="000000"/>
                <w:sz w:val="20"/>
                <w:szCs w:val="20"/>
              </w:rPr>
              <w:t>W załączniku nr 2 (katalog zakresów świadczeń - onkologiczne świadczenia kompleksowe) dokonano zmiany technicznej kodów zakresów świadczeń. Od  dnia 1 stycznia 2022 r. dla doty</w:t>
            </w:r>
            <w:r>
              <w:rPr>
                <w:color w:val="000000"/>
                <w:sz w:val="20"/>
                <w:szCs w:val="20"/>
              </w:rPr>
              <w:t>chczasowych zakresów świadczeń:</w:t>
            </w:r>
            <w:r>
              <w:rPr>
                <w:color w:val="000000"/>
                <w:sz w:val="20"/>
                <w:szCs w:val="20"/>
              </w:rPr>
              <w:br/>
              <w:t xml:space="preserve">- </w:t>
            </w:r>
            <w:r w:rsidRPr="008930E8">
              <w:rPr>
                <w:color w:val="000000"/>
                <w:sz w:val="20"/>
                <w:szCs w:val="20"/>
              </w:rPr>
              <w:t xml:space="preserve">Kompleksowa opieka onkologiczna nad świadczeniobiorcą z nowotworem piersi (KON-Pierś) – </w:t>
            </w:r>
            <w:r>
              <w:rPr>
                <w:color w:val="000000"/>
                <w:sz w:val="20"/>
                <w:szCs w:val="20"/>
              </w:rPr>
              <w:t>kod zakresu 03.4240.020.02 oraz</w:t>
            </w:r>
            <w:r>
              <w:rPr>
                <w:color w:val="000000"/>
                <w:sz w:val="20"/>
                <w:szCs w:val="20"/>
              </w:rPr>
              <w:br/>
              <w:t xml:space="preserve">- </w:t>
            </w:r>
            <w:r w:rsidRPr="008930E8">
              <w:rPr>
                <w:color w:val="000000"/>
                <w:sz w:val="20"/>
                <w:szCs w:val="20"/>
              </w:rPr>
              <w:t>Kompleksowa opieka onkologiczna nad pacjentem z nowotworem jelita grubego (KON-J</w:t>
            </w:r>
            <w:r>
              <w:rPr>
                <w:color w:val="000000"/>
                <w:sz w:val="20"/>
                <w:szCs w:val="20"/>
              </w:rPr>
              <w:t>G) – kod zakresu 03.4240.021.02</w:t>
            </w:r>
            <w:r>
              <w:rPr>
                <w:color w:val="000000"/>
                <w:sz w:val="20"/>
                <w:szCs w:val="20"/>
              </w:rPr>
              <w:br/>
            </w:r>
            <w:r w:rsidRPr="008930E8">
              <w:rPr>
                <w:color w:val="000000"/>
                <w:sz w:val="20"/>
                <w:szCs w:val="20"/>
              </w:rPr>
              <w:t>będą obowiązywały odpowiednio kody zakresów: 03.4240.010.02 oraz 03.4</w:t>
            </w:r>
            <w:r>
              <w:rPr>
                <w:color w:val="000000"/>
                <w:sz w:val="20"/>
                <w:szCs w:val="20"/>
              </w:rPr>
              <w:t>240.011.02.</w:t>
            </w:r>
            <w:r>
              <w:rPr>
                <w:color w:val="000000"/>
                <w:sz w:val="20"/>
                <w:szCs w:val="20"/>
              </w:rPr>
              <w:br/>
            </w:r>
            <w:r w:rsidRPr="008930E8">
              <w:rPr>
                <w:color w:val="000000"/>
                <w:sz w:val="20"/>
                <w:szCs w:val="20"/>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w:t>
            </w:r>
            <w:r>
              <w:rPr>
                <w:color w:val="000000"/>
                <w:sz w:val="20"/>
                <w:szCs w:val="20"/>
              </w:rPr>
              <w:t xml:space="preserve"> 4 do niniejszego zarządzenia).</w:t>
            </w:r>
            <w:r>
              <w:rPr>
                <w:color w:val="000000"/>
                <w:sz w:val="20"/>
                <w:szCs w:val="20"/>
              </w:rPr>
              <w:br/>
            </w:r>
            <w:r w:rsidRPr="008930E8">
              <w:rPr>
                <w:color w:val="000000"/>
                <w:sz w:val="20"/>
                <w:szCs w:val="20"/>
              </w:rPr>
              <w:t>3.</w:t>
            </w:r>
            <w:r>
              <w:rPr>
                <w:color w:val="000000"/>
                <w:sz w:val="20"/>
                <w:szCs w:val="20"/>
              </w:rPr>
              <w:t xml:space="preserve"> </w:t>
            </w:r>
            <w:r w:rsidRPr="008930E8">
              <w:rPr>
                <w:color w:val="000000"/>
                <w:sz w:val="20"/>
                <w:szCs w:val="20"/>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w:t>
            </w:r>
            <w:r>
              <w:rPr>
                <w:color w:val="000000"/>
                <w:sz w:val="20"/>
                <w:szCs w:val="20"/>
              </w:rPr>
              <w:t>konieczności ich wyodrębniania.</w:t>
            </w:r>
            <w:r>
              <w:rPr>
                <w:color w:val="000000"/>
                <w:sz w:val="20"/>
                <w:szCs w:val="20"/>
              </w:rPr>
              <w:br/>
            </w:r>
            <w:r w:rsidRPr="008930E8">
              <w:rPr>
                <w:color w:val="000000"/>
                <w:sz w:val="20"/>
                <w:szCs w:val="20"/>
              </w:rPr>
              <w:t>Ponadto zaktualizowano użytą w załączniku nr 2 nazwę katalogu 1on – katalog onkologicznych świadczeń komp</w:t>
            </w:r>
            <w:r>
              <w:rPr>
                <w:color w:val="000000"/>
                <w:sz w:val="20"/>
                <w:szCs w:val="20"/>
              </w:rPr>
              <w:t>leksowych.</w:t>
            </w:r>
            <w:r>
              <w:rPr>
                <w:color w:val="000000"/>
                <w:sz w:val="20"/>
                <w:szCs w:val="20"/>
              </w:rPr>
              <w:br/>
            </w:r>
            <w:r w:rsidRPr="008930E8">
              <w:rPr>
                <w:color w:val="000000"/>
                <w:sz w:val="20"/>
                <w:szCs w:val="20"/>
              </w:rPr>
              <w:t>Przedmiotowe działania zostały podjęte w ramach realizacji celu nr 2 Strategii Narodowego Funduszu Zdrowia na lata 2019-2023 – Poprawa jakości i dostępnoś</w:t>
            </w:r>
            <w:r>
              <w:rPr>
                <w:color w:val="000000"/>
                <w:sz w:val="20"/>
                <w:szCs w:val="20"/>
              </w:rPr>
              <w:t>ci świadczeń opieki zdrowotnej.</w:t>
            </w:r>
            <w:r>
              <w:rPr>
                <w:color w:val="000000"/>
                <w:sz w:val="20"/>
                <w:szCs w:val="20"/>
              </w:rPr>
              <w:br/>
            </w:r>
            <w:r w:rsidRPr="008930E8">
              <w:rPr>
                <w:color w:val="000000"/>
                <w:sz w:val="20"/>
                <w:szCs w:val="20"/>
              </w:rPr>
              <w:t>Zarządzenie wchodzi w życie z dniem 1 listopada 2021 r. z wyjątkiem § 1 pkt 2 lit. b oraz pkt 3, które wchodzą w życie z dniem 1 stycznia 2022 r.</w:t>
            </w:r>
          </w:p>
        </w:tc>
        <w:tc>
          <w:tcPr>
            <w:tcW w:w="448" w:type="pct"/>
          </w:tcPr>
          <w:p w14:paraId="33C993D5"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22 października 2021 r. (</w:t>
            </w:r>
            <w:hyperlink r:id="rId33" w:history="1">
              <w:r>
                <w:rPr>
                  <w:rStyle w:val="Hipercze"/>
                  <w:rFonts w:ascii="Arial" w:hAnsi="Arial" w:cs="Arial"/>
                  <w:color w:val="172983"/>
                  <w:sz w:val="18"/>
                  <w:szCs w:val="18"/>
                  <w:shd w:val="clear" w:color="auto" w:fill="FFFFFF"/>
                </w:rPr>
                <w:t>szpital.dsoz@nfz.gov.pl</w:t>
              </w:r>
            </w:hyperlink>
            <w:r>
              <w:t>)</w:t>
            </w:r>
          </w:p>
        </w:tc>
        <w:tc>
          <w:tcPr>
            <w:tcW w:w="1174" w:type="pct"/>
          </w:tcPr>
          <w:p w14:paraId="57391331" w14:textId="77777777" w:rsidR="008930E8" w:rsidRDefault="00A2741E" w:rsidP="000E1A81">
            <w:hyperlink r:id="rId34" w:history="1">
              <w:r w:rsidR="008930E8">
                <w:rPr>
                  <w:rStyle w:val="Hipercze"/>
                </w:rPr>
                <w:t>Projekty zarządzeń / Zarządzenia Prezesa / Narodowy Fundusz Zdrowia (NFZ) – finansujemy zdrowie Polaków</w:t>
              </w:r>
            </w:hyperlink>
          </w:p>
        </w:tc>
      </w:tr>
      <w:tr w:rsidR="002D6BAA" w14:paraId="67DF535E" w14:textId="77777777" w:rsidTr="00A506D2">
        <w:tc>
          <w:tcPr>
            <w:tcW w:w="352" w:type="pct"/>
          </w:tcPr>
          <w:p w14:paraId="3D47755D"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14:paraId="796E34F7"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3F2F32D" w14:textId="77777777" w:rsidR="002D6BAA" w:rsidRPr="002D6BAA" w:rsidRDefault="002D6BAA" w:rsidP="002D6BAA">
            <w:pPr>
              <w:pStyle w:val="Nagwek1"/>
              <w:outlineLvl w:val="0"/>
              <w:rPr>
                <w:rFonts w:ascii="Arial" w:hAnsi="Arial" w:cstheme="minorBidi"/>
                <w:color w:val="auto"/>
                <w:sz w:val="24"/>
                <w:szCs w:val="24"/>
              </w:rPr>
            </w:pPr>
            <w:r w:rsidRPr="002D6BAA">
              <w:rPr>
                <w:rFonts w:ascii="Times New Roman" w:hAnsi="Times New Roman" w:cs="Times New Roman"/>
                <w:b w:val="0"/>
                <w:color w:val="auto"/>
                <w:sz w:val="20"/>
                <w:szCs w:val="20"/>
                <w:shd w:val="clear" w:color="auto" w:fill="FFFFFF"/>
              </w:rPr>
              <w:t>Projekt zarządzenia zmieniające</w:t>
            </w:r>
            <w:r>
              <w:rPr>
                <w:rFonts w:ascii="Times New Roman" w:hAnsi="Times New Roman" w:cs="Times New Roman"/>
                <w:b w:val="0"/>
                <w:color w:val="auto"/>
                <w:sz w:val="20"/>
                <w:szCs w:val="20"/>
                <w:shd w:val="clear" w:color="auto" w:fill="FFFFFF"/>
              </w:rPr>
              <w:t>go</w:t>
            </w:r>
            <w:r w:rsidRPr="002D6BAA">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lastRenderedPageBreak/>
              <w:t>zarządzenie w sprawie określenia warunków zawierania i realizacji umów w rodzaju leczenie szpitalne oraz leczenie szpitalne – świadczenia wysokospecjalistyczne</w:t>
            </w:r>
          </w:p>
        </w:tc>
        <w:tc>
          <w:tcPr>
            <w:tcW w:w="2115" w:type="pct"/>
          </w:tcPr>
          <w:p w14:paraId="6A67BA2B" w14:textId="77777777" w:rsidR="002D6BAA" w:rsidRPr="002D6BAA" w:rsidRDefault="002D6BAA" w:rsidP="002D6BAA">
            <w:pPr>
              <w:pStyle w:val="NormalnyWeb"/>
              <w:spacing w:before="0" w:beforeAutospacing="0" w:after="0"/>
              <w:rPr>
                <w:color w:val="000000"/>
                <w:sz w:val="20"/>
                <w:szCs w:val="20"/>
              </w:rPr>
            </w:pPr>
            <w:r w:rsidRPr="002D6BAA">
              <w:rPr>
                <w:color w:val="000000"/>
                <w:sz w:val="20"/>
                <w:szCs w:val="20"/>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r>
              <w:rPr>
                <w:color w:val="000000"/>
                <w:sz w:val="20"/>
                <w:szCs w:val="20"/>
              </w:rPr>
              <w:t xml:space="preserve"> </w:t>
            </w:r>
            <w:r w:rsidRPr="002D6BAA">
              <w:rPr>
                <w:color w:val="000000"/>
                <w:sz w:val="20"/>
                <w:szCs w:val="20"/>
              </w:rPr>
              <w:t xml:space="preserve">W niniejszym zarządzeniu zmieniającym zarządzenie Nr </w:t>
            </w:r>
            <w:r w:rsidRPr="002D6BAA">
              <w:rPr>
                <w:color w:val="000000"/>
                <w:sz w:val="20"/>
                <w:szCs w:val="20"/>
              </w:rPr>
              <w:lastRenderedPageBreak/>
              <w:t>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r w:rsidR="008930E8">
              <w:rPr>
                <w:color w:val="000000"/>
                <w:sz w:val="20"/>
                <w:szCs w:val="20"/>
              </w:rPr>
              <w:br/>
            </w:r>
            <w:r w:rsidRPr="002D6BAA">
              <w:rPr>
                <w:color w:val="000000"/>
                <w:sz w:val="20"/>
                <w:szCs w:val="20"/>
              </w:rPr>
              <w:t xml:space="preserve"> - Pomostowanie naczyń wieńcowych z plastyką;</w:t>
            </w:r>
            <w:r w:rsidR="008930E8">
              <w:rPr>
                <w:color w:val="000000"/>
                <w:sz w:val="20"/>
                <w:szCs w:val="20"/>
              </w:rPr>
              <w:t xml:space="preserve">  </w:t>
            </w:r>
            <w:r w:rsidR="008930E8">
              <w:rPr>
                <w:color w:val="000000"/>
                <w:sz w:val="20"/>
                <w:szCs w:val="20"/>
              </w:rPr>
              <w:br/>
            </w:r>
            <w:r w:rsidRPr="002D6BAA">
              <w:rPr>
                <w:color w:val="000000"/>
                <w:sz w:val="20"/>
                <w:szCs w:val="20"/>
              </w:rPr>
              <w:t xml:space="preserve"> - Pomostowa</w:t>
            </w:r>
            <w:r w:rsidR="008930E8">
              <w:rPr>
                <w:color w:val="000000"/>
                <w:sz w:val="20"/>
                <w:szCs w:val="20"/>
              </w:rPr>
              <w:t>nie naczyń wieńcowych z pw &gt;=2;</w:t>
            </w:r>
            <w:r w:rsidR="008930E8">
              <w:rPr>
                <w:color w:val="000000"/>
                <w:sz w:val="20"/>
                <w:szCs w:val="20"/>
              </w:rPr>
              <w:br/>
            </w:r>
            <w:r w:rsidRPr="002D6BAA">
              <w:rPr>
                <w:color w:val="000000"/>
                <w:sz w:val="20"/>
                <w:szCs w:val="20"/>
              </w:rPr>
              <w:t xml:space="preserve"> - Pomosto</w:t>
            </w:r>
            <w:r>
              <w:rPr>
                <w:color w:val="000000"/>
                <w:sz w:val="20"/>
                <w:szCs w:val="20"/>
              </w:rPr>
              <w:t>wanie naczyń wieńcowych bez pw.</w:t>
            </w:r>
            <w:r>
              <w:rPr>
                <w:color w:val="000000"/>
                <w:sz w:val="20"/>
                <w:szCs w:val="20"/>
              </w:rPr>
              <w:tab/>
            </w:r>
            <w:r w:rsidR="008930E8">
              <w:rPr>
                <w:color w:val="000000"/>
                <w:sz w:val="20"/>
                <w:szCs w:val="20"/>
              </w:rPr>
              <w:br/>
            </w:r>
            <w:r w:rsidRPr="002D6BAA">
              <w:rPr>
                <w:color w:val="000000"/>
                <w:sz w:val="20"/>
                <w:szCs w:val="20"/>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sidRPr="002D6BAA">
              <w:rPr>
                <w:color w:val="000000"/>
                <w:sz w:val="20"/>
                <w:szCs w:val="20"/>
              </w:rPr>
              <w:t xml:space="preserve">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w:t>
            </w:r>
            <w:r w:rsidRPr="002D6BAA">
              <w:rPr>
                <w:color w:val="000000"/>
                <w:sz w:val="20"/>
                <w:szCs w:val="20"/>
              </w:rPr>
              <w:lastRenderedPageBreak/>
              <w:t>dokonano stosownych zmian w załączniku nr 1 ws do zarządzenia, który stanowi katalog operacji wad serca i aorty piersiowej. Zmiany w obrębie załącznika nr 1c do zarządzenia mają charakter porządkujący.</w:t>
            </w:r>
            <w:r>
              <w:rPr>
                <w:color w:val="000000"/>
                <w:sz w:val="20"/>
                <w:szCs w:val="20"/>
              </w:rPr>
              <w:t xml:space="preserve"> </w:t>
            </w:r>
            <w:r w:rsidRPr="002D6BAA">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r>
              <w:rPr>
                <w:color w:val="000000"/>
                <w:sz w:val="20"/>
                <w:szCs w:val="20"/>
              </w:rPr>
              <w:t xml:space="preserve"> </w:t>
            </w:r>
            <w:r w:rsidRPr="002D6BAA">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t xml:space="preserve"> </w:t>
            </w:r>
            <w:r w:rsidRPr="002D6BAA">
              <w:rPr>
                <w:color w:val="000000"/>
                <w:sz w:val="20"/>
                <w:szCs w:val="20"/>
              </w:rPr>
              <w:t>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r w:rsidR="008930E8">
              <w:rPr>
                <w:color w:val="000000"/>
                <w:sz w:val="20"/>
                <w:szCs w:val="20"/>
              </w:rPr>
              <w:br/>
            </w:r>
            <w:r w:rsidRPr="002D6BAA">
              <w:rPr>
                <w:color w:val="000000"/>
                <w:sz w:val="20"/>
                <w:szCs w:val="20"/>
              </w:rPr>
              <w:t>Zarządzenie wchodzi w życie z dniem 1 listopada 2021 r.</w:t>
            </w:r>
          </w:p>
        </w:tc>
        <w:tc>
          <w:tcPr>
            <w:tcW w:w="448" w:type="pct"/>
          </w:tcPr>
          <w:p w14:paraId="285E0600"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22 października 2021 r. </w:t>
            </w:r>
            <w:r>
              <w:rPr>
                <w:rFonts w:ascii="Times New Roman" w:hAnsi="Times New Roman" w:cs="Times New Roman"/>
                <w:sz w:val="20"/>
                <w:szCs w:val="20"/>
              </w:rPr>
              <w:lastRenderedPageBreak/>
              <w:t>(</w:t>
            </w:r>
            <w:hyperlink r:id="rId35"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3A18E393" w14:textId="77777777" w:rsidR="002D6BAA" w:rsidRDefault="00A2741E" w:rsidP="000E1A81">
            <w:hyperlink r:id="rId36" w:history="1">
              <w:r w:rsidR="002D6BAA">
                <w:rPr>
                  <w:rStyle w:val="Hipercze"/>
                </w:rPr>
                <w:t>Projekty zarządzeń / Zarządzenia Prezesa / Narodowy Fundusz Zdrowia (NFZ) – finansujemy zdrowie Polaków</w:t>
              </w:r>
            </w:hyperlink>
          </w:p>
        </w:tc>
      </w:tr>
      <w:tr w:rsidR="002D6BAA" w14:paraId="4982A47D" w14:textId="77777777" w:rsidTr="00A506D2">
        <w:tc>
          <w:tcPr>
            <w:tcW w:w="352" w:type="pct"/>
          </w:tcPr>
          <w:p w14:paraId="7D8E3C99"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14:paraId="54B7B8A9"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73407A2" w14:textId="77777777"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 xml:space="preserve">zmieniające zarządzenie w sprawie zasad sprawozdawania oraz warunków rozliczania </w:t>
            </w:r>
            <w:r w:rsidRPr="002D6BAA">
              <w:rPr>
                <w:rFonts w:ascii="Times New Roman" w:hAnsi="Times New Roman" w:cs="Times New Roman"/>
                <w:b w:val="0"/>
                <w:color w:val="auto"/>
                <w:sz w:val="20"/>
                <w:szCs w:val="20"/>
                <w:shd w:val="clear" w:color="auto" w:fill="FFFFFF"/>
              </w:rPr>
              <w:lastRenderedPageBreak/>
              <w:t>świadczeń opieki zdrowotnej związanych z zapobieganiem, przeciwdziałaniem i zwalczaniem COVID-19</w:t>
            </w:r>
          </w:p>
        </w:tc>
        <w:tc>
          <w:tcPr>
            <w:tcW w:w="2115" w:type="pct"/>
          </w:tcPr>
          <w:p w14:paraId="12159C55" w14:textId="77777777"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t>
            </w:r>
            <w:r w:rsidRPr="002D6BAA">
              <w:rPr>
                <w:color w:val="000000"/>
                <w:sz w:val="20"/>
                <w:szCs w:val="20"/>
              </w:rPr>
              <w:lastRenderedPageBreak/>
              <w:t>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14:paraId="621B317C"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14:paraId="48463C43" w14:textId="77777777" w:rsidR="002D6BAA" w:rsidRDefault="00A2741E" w:rsidP="000E1A81">
            <w:hyperlink r:id="rId37" w:history="1">
              <w:r w:rsidR="002D6BAA">
                <w:rPr>
                  <w:rStyle w:val="Hipercze"/>
                </w:rPr>
                <w:t>Zarządzenia Prezesa NFZ / Zarządzenia Prezesa / Narodowy Fundusz Zdrowia (NFZ) – finansujemy zdrowie Polaków</w:t>
              </w:r>
            </w:hyperlink>
          </w:p>
        </w:tc>
      </w:tr>
      <w:tr w:rsidR="00F75957" w14:paraId="6D79732C" w14:textId="77777777" w:rsidTr="00A506D2">
        <w:tc>
          <w:tcPr>
            <w:tcW w:w="352" w:type="pct"/>
          </w:tcPr>
          <w:p w14:paraId="33ED3A8F"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2EEC500D"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AC7BCDE" w14:textId="77777777"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14:paraId="1BA568B1" w14:textId="77777777"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14:paraId="33AE1230"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37FC84A5" w14:textId="77777777" w:rsidR="00F75957" w:rsidRDefault="00A2741E" w:rsidP="000E1A81">
            <w:hyperlink r:id="rId38" w:history="1">
              <w:r w:rsidR="00F75957">
                <w:rPr>
                  <w:rStyle w:val="Hipercze"/>
                </w:rPr>
                <w:t>Zarządzenie (mz.gov.pl)</w:t>
              </w:r>
            </w:hyperlink>
          </w:p>
        </w:tc>
      </w:tr>
      <w:tr w:rsidR="00F75957" w14:paraId="0B7FBF5E" w14:textId="77777777" w:rsidTr="00A506D2">
        <w:tc>
          <w:tcPr>
            <w:tcW w:w="352" w:type="pct"/>
          </w:tcPr>
          <w:p w14:paraId="674458E4"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4413110C"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A81DA9E" w14:textId="77777777"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w:t>
            </w:r>
            <w:r w:rsidRPr="00F75957">
              <w:rPr>
                <w:rFonts w:ascii="Times New Roman" w:hAnsi="Times New Roman" w:cs="Times New Roman"/>
                <w:b w:val="0"/>
                <w:color w:val="auto"/>
                <w:sz w:val="20"/>
                <w:szCs w:val="20"/>
                <w:shd w:val="clear" w:color="auto" w:fill="FFFFFF"/>
              </w:rPr>
              <w:lastRenderedPageBreak/>
              <w:t>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14:paraId="52ACB065"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Do zadań Zespołu należy:</w:t>
            </w:r>
          </w:p>
          <w:p w14:paraId="45F7FA18"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w:t>
            </w:r>
            <w:r w:rsidRPr="00F75957">
              <w:rPr>
                <w:color w:val="000000"/>
                <w:sz w:val="20"/>
                <w:szCs w:val="20"/>
              </w:rPr>
              <w:lastRenderedPageBreak/>
              <w:t xml:space="preserve">realizowanych na terytorium Rzeczypospolitej </w:t>
            </w:r>
          </w:p>
          <w:p w14:paraId="554237AB"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14:paraId="685E89DD"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14:paraId="0DDBCEF6"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14:paraId="449F6784"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14:paraId="32531CFA" w14:textId="77777777"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14:paraId="398B7D7C"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października 2021 r.</w:t>
            </w:r>
          </w:p>
        </w:tc>
        <w:tc>
          <w:tcPr>
            <w:tcW w:w="1174" w:type="pct"/>
          </w:tcPr>
          <w:p w14:paraId="3759CFA5" w14:textId="77777777" w:rsidR="00F75957" w:rsidRDefault="00A2741E" w:rsidP="000E1A81">
            <w:hyperlink r:id="rId39" w:history="1">
              <w:r w:rsidR="00F75957">
                <w:rPr>
                  <w:rStyle w:val="Hipercze"/>
                </w:rPr>
                <w:t>Zarządzenie z dnia 6 października 2021 r. (mz.gov.pl)</w:t>
              </w:r>
            </w:hyperlink>
          </w:p>
        </w:tc>
      </w:tr>
      <w:tr w:rsidR="002314ED" w14:paraId="74211143" w14:textId="77777777" w:rsidTr="00A506D2">
        <w:tc>
          <w:tcPr>
            <w:tcW w:w="352" w:type="pct"/>
          </w:tcPr>
          <w:p w14:paraId="3EDD2522" w14:textId="77777777"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44E654BB" w14:textId="77777777"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34D596F" w14:textId="77777777"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w:t>
            </w:r>
            <w:r w:rsidRPr="00B960CF">
              <w:rPr>
                <w:rFonts w:ascii="Times New Roman" w:hAnsi="Times New Roman" w:cs="Times New Roman"/>
                <w:b w:val="0"/>
                <w:color w:val="auto"/>
                <w:sz w:val="20"/>
                <w:szCs w:val="20"/>
                <w:shd w:val="clear" w:color="auto" w:fill="FFFFFF"/>
              </w:rPr>
              <w:lastRenderedPageBreak/>
              <w:t>opieki zdrowotnej w rodzaju lecznictwo uzdrowiskowe</w:t>
            </w:r>
          </w:p>
        </w:tc>
        <w:tc>
          <w:tcPr>
            <w:tcW w:w="2115" w:type="pct"/>
          </w:tcPr>
          <w:p w14:paraId="596CC673" w14:textId="77777777"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14:paraId="3D05FC6C" w14:textId="77777777"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14:paraId="29B1A27D" w14:textId="77777777" w:rsidR="002314ED" w:rsidRPr="00F73B45" w:rsidRDefault="00167409" w:rsidP="00167409">
            <w:pPr>
              <w:pStyle w:val="NormalnyWeb"/>
              <w:rPr>
                <w:color w:val="000000"/>
                <w:sz w:val="20"/>
                <w:szCs w:val="20"/>
              </w:rPr>
            </w:pPr>
            <w:r w:rsidRPr="00167409">
              <w:rPr>
                <w:color w:val="000000"/>
                <w:sz w:val="20"/>
                <w:szCs w:val="20"/>
              </w:rPr>
              <w:t xml:space="preserve">Powyższe działania zostały podjęte w ramach realizacji celu nr 2 Strategii Narodowego Funduszu Zdrowia na lata 2019-2023 – Poprawa </w:t>
            </w:r>
            <w:r w:rsidRPr="00167409">
              <w:rPr>
                <w:color w:val="000000"/>
                <w:sz w:val="20"/>
                <w:szCs w:val="20"/>
              </w:rPr>
              <w:lastRenderedPageBreak/>
              <w:t>jakości i dostępności świadczeń opieki zdrowotnej.</w:t>
            </w:r>
          </w:p>
        </w:tc>
        <w:tc>
          <w:tcPr>
            <w:tcW w:w="448" w:type="pct"/>
          </w:tcPr>
          <w:p w14:paraId="1EB3546D" w14:textId="77777777"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14:paraId="60BAAA38" w14:textId="77777777" w:rsidR="002314ED" w:rsidRDefault="00A2741E" w:rsidP="000E1A81">
            <w:hyperlink r:id="rId40" w:history="1">
              <w:r w:rsidR="00167409">
                <w:rPr>
                  <w:rStyle w:val="Hipercze"/>
                </w:rPr>
                <w:t>Zarządzenia Prezesa NFZ / Zarządzenia Prezesa / Narodowy Fundusz Zdrowia (NFZ) – finansujemy zdrowie Polaków</w:t>
              </w:r>
            </w:hyperlink>
          </w:p>
        </w:tc>
      </w:tr>
      <w:tr w:rsidR="00692133" w14:paraId="0AD15B36" w14:textId="77777777" w:rsidTr="00A506D2">
        <w:tc>
          <w:tcPr>
            <w:tcW w:w="352" w:type="pct"/>
          </w:tcPr>
          <w:p w14:paraId="33A03F43" w14:textId="77777777"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25A7B400" w14:textId="77777777"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DB1227E" w14:textId="77777777"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14:paraId="7F8501FA" w14:textId="77777777"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2CA9DB98" w14:textId="77777777"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w:t>
            </w:r>
            <w:r w:rsidRPr="00F73B45">
              <w:rPr>
                <w:color w:val="000000"/>
                <w:sz w:val="20"/>
                <w:szCs w:val="20"/>
              </w:rPr>
              <w:lastRenderedPageBreak/>
              <w:t xml:space="preserve">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0B5A0ECB" w14:textId="77777777"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18F63A8B" w14:textId="77777777"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w:t>
            </w:r>
            <w:r w:rsidRPr="00F73B45">
              <w:rPr>
                <w:color w:val="000000"/>
                <w:sz w:val="20"/>
                <w:szCs w:val="20"/>
              </w:rPr>
              <w:lastRenderedPageBreak/>
              <w:t xml:space="preserve">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3930B433" w14:textId="77777777"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1C7DC9DE" w14:textId="77777777"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w:t>
            </w:r>
            <w:r w:rsidRPr="00F73B45">
              <w:rPr>
                <w:color w:val="000000"/>
                <w:sz w:val="20"/>
                <w:szCs w:val="20"/>
              </w:rPr>
              <w:lastRenderedPageBreak/>
              <w:t xml:space="preserve">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20B60C1D" w14:textId="77777777"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14:paraId="02FB6C70" w14:textId="77777777"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027BA523" w14:textId="77777777"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w:t>
            </w:r>
            <w:r w:rsidRPr="00F73B45">
              <w:rPr>
                <w:color w:val="000000"/>
                <w:sz w:val="20"/>
                <w:szCs w:val="20"/>
              </w:rPr>
              <w:lastRenderedPageBreak/>
              <w:t>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14:paraId="5C7AD5C8" w14:textId="77777777"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41"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14:paraId="6F682E9E" w14:textId="77777777" w:rsidR="00692133" w:rsidRDefault="00A2741E" w:rsidP="000E1A81">
            <w:hyperlink r:id="rId42" w:history="1">
              <w:r w:rsidR="00692133">
                <w:rPr>
                  <w:rStyle w:val="Hipercze"/>
                </w:rPr>
                <w:t>Akt prawny (legislacja.gov.pl)</w:t>
              </w:r>
            </w:hyperlink>
          </w:p>
        </w:tc>
      </w:tr>
      <w:tr w:rsidR="008047D8" w14:paraId="5C5E6FA0" w14:textId="77777777" w:rsidTr="00A506D2">
        <w:tc>
          <w:tcPr>
            <w:tcW w:w="352" w:type="pct"/>
          </w:tcPr>
          <w:p w14:paraId="1CA4EB2E" w14:textId="77777777"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14:paraId="7DDEFEE7" w14:textId="77777777"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EE5D0C9" w14:textId="77777777"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14:paraId="0187AC61" w14:textId="77777777"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14:paraId="4CECB45E" w14:textId="77777777"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14:paraId="2FD05DA8" w14:textId="77777777"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14:paraId="67A5BD5C" w14:textId="77777777" w:rsidR="008047D8" w:rsidRDefault="00A2741E" w:rsidP="000E1A81">
            <w:hyperlink r:id="rId43"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14:paraId="30B13907" w14:textId="77777777" w:rsidTr="00A506D2">
        <w:tc>
          <w:tcPr>
            <w:tcW w:w="352" w:type="pct"/>
          </w:tcPr>
          <w:p w14:paraId="2DED3AF9" w14:textId="77777777"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14:paraId="00FC20E0" w14:textId="77777777"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6385F09D" w14:textId="77777777"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14:paraId="246C9C91" w14:textId="77777777"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14:paraId="75BF2A55" w14:textId="77777777"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41C7FFE8" w14:textId="77777777" w:rsidR="00FD4BE5" w:rsidRDefault="00A2741E" w:rsidP="000E1A81">
            <w:hyperlink r:id="rId44"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14:paraId="692F4766" w14:textId="77777777" w:rsidTr="00A506D2">
        <w:tc>
          <w:tcPr>
            <w:tcW w:w="352" w:type="pct"/>
          </w:tcPr>
          <w:p w14:paraId="19E5A1E7" w14:textId="77777777"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1980E506" w14:textId="77777777"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0DEE350" w14:textId="77777777"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14:paraId="01C31629" w14:textId="77777777"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14:paraId="3435C8CF" w14:textId="77777777"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 xml:space="preserve">wniosku o uzupełnienie porządku dziennego o punkt: Pierwsze czytanie poselskiego projektu ustawy o bezpiecznym </w:t>
            </w:r>
            <w:r w:rsidRPr="00984FCD">
              <w:rPr>
                <w:rFonts w:ascii="Times New Roman" w:hAnsi="Times New Roman" w:cs="Times New Roman"/>
                <w:sz w:val="20"/>
                <w:szCs w:val="20"/>
              </w:rPr>
              <w:lastRenderedPageBreak/>
              <w:t>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14:paraId="0E658F18" w14:textId="77777777" w:rsidR="00984FCD" w:rsidRDefault="00A2741E" w:rsidP="000E1A81">
            <w:hyperlink r:id="rId45" w:history="1">
              <w:r w:rsidR="00984FCD">
                <w:rPr>
                  <w:rStyle w:val="Hipercze"/>
                </w:rPr>
                <w:t>9-020-143-2020.pdf (sejm.gov.pl)</w:t>
              </w:r>
            </w:hyperlink>
          </w:p>
        </w:tc>
      </w:tr>
      <w:tr w:rsidR="0029746F" w14:paraId="61522022" w14:textId="77777777" w:rsidTr="00A506D2">
        <w:tc>
          <w:tcPr>
            <w:tcW w:w="352" w:type="pct"/>
          </w:tcPr>
          <w:p w14:paraId="55D2F4AC" w14:textId="77777777"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19016020" w14:textId="77777777"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4D165D8" w14:textId="77777777"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14:paraId="503CEE7A" w14:textId="77777777"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14:paraId="4C95A472" w14:textId="77777777"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23D2995C" w14:textId="77777777" w:rsidR="0029746F" w:rsidRDefault="00A2741E" w:rsidP="000E1A81">
            <w:hyperlink r:id="rId46"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14:paraId="38EA40D9" w14:textId="77777777" w:rsidTr="00A506D2">
        <w:tc>
          <w:tcPr>
            <w:tcW w:w="352" w:type="pct"/>
          </w:tcPr>
          <w:p w14:paraId="26A79DA8"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0757FFB1" w14:textId="77777777"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55F8CB9E" w14:textId="77777777"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w:t>
            </w:r>
            <w:r w:rsidRPr="002B2476">
              <w:rPr>
                <w:rFonts w:ascii="Times New Roman" w:hAnsi="Times New Roman" w:cs="Times New Roman"/>
                <w:b w:val="0"/>
                <w:color w:val="auto"/>
                <w:sz w:val="20"/>
                <w:szCs w:val="20"/>
                <w:shd w:val="clear" w:color="auto" w:fill="FFFFFF"/>
              </w:rPr>
              <w:lastRenderedPageBreak/>
              <w:t>zwalczania zachorowań na chorobę COVID-19 oraz wyrażenia zgody na udostępnienie partnerom zagranicznym szczepionek przeciw COVID-19</w:t>
            </w:r>
          </w:p>
        </w:tc>
        <w:tc>
          <w:tcPr>
            <w:tcW w:w="2115" w:type="pct"/>
          </w:tcPr>
          <w:p w14:paraId="44A84D95"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07B51729"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Udzielenie zgody na udostępnienie partnerom zagranicznym szczepionek przeciw COVID-19 jest również zasadne ze względu na:</w:t>
            </w:r>
          </w:p>
          <w:p w14:paraId="4946450E"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14:paraId="27D3F6AA"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14:paraId="09AAA3AA"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7255644E" w14:textId="77777777"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50F60357" w14:textId="77777777"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 xml:space="preserve">ZREALIZOWANY Rada </w:t>
            </w:r>
            <w:r w:rsidRPr="002B2476">
              <w:rPr>
                <w:rFonts w:ascii="Times New Roman" w:hAnsi="Times New Roman" w:cs="Times New Roman"/>
                <w:sz w:val="20"/>
                <w:szCs w:val="20"/>
              </w:rPr>
              <w:lastRenderedPageBreak/>
              <w:t>Ministrów przyjęła 21 września 2021 r.</w:t>
            </w:r>
          </w:p>
        </w:tc>
        <w:tc>
          <w:tcPr>
            <w:tcW w:w="1174" w:type="pct"/>
          </w:tcPr>
          <w:p w14:paraId="08EAF5F4" w14:textId="77777777" w:rsidR="002B2476" w:rsidRDefault="00A2741E" w:rsidP="000E1A81">
            <w:hyperlink r:id="rId47" w:history="1">
              <w:r w:rsidR="002B2476">
                <w:rPr>
                  <w:rStyle w:val="Hipercze"/>
                </w:rPr>
                <w:t xml:space="preserve">Projekt uchwały Rady Ministrów zmieniającej uchwałę w sprawie prowadzenia międzynarodowych działań solidarnościowych w celu profilaktyki i zwalczania zachorowań na chorobę COVID-19 oraz wyrażenia zgody na udostępnienie partnerom zagranicznym szczepionek przeciw </w:t>
              </w:r>
              <w:r w:rsidR="002B2476">
                <w:rPr>
                  <w:rStyle w:val="Hipercze"/>
                </w:rPr>
                <w:lastRenderedPageBreak/>
                <w:t>COVID-19 - Wykaz prac legislacyjnych i programowych Rady Ministrów - BIP Rady Ministrów i Kancelarii Prezesa Rady Ministrów (kprm.gov.pl)</w:t>
              </w:r>
            </w:hyperlink>
          </w:p>
        </w:tc>
      </w:tr>
      <w:tr w:rsidR="002B2476" w14:paraId="365658AE" w14:textId="77777777" w:rsidTr="00A506D2">
        <w:tc>
          <w:tcPr>
            <w:tcW w:w="352" w:type="pct"/>
          </w:tcPr>
          <w:p w14:paraId="0DC688F2"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14:paraId="148063AA" w14:textId="77777777"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C7C29A2" w14:textId="77777777"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14:paraId="6255DA28" w14:textId="77777777"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14:paraId="129F141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14:paraId="7BD35F5E"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Polityka państwa wobec epidemii HIV i AIDS została określona w rozporządzeniu Rady Ministrów z dnia 15 lutego 2011 r. w sprawie Krajowego Programu Zapobiegania Zakażeniom HIV i Zwalczania AIDS. Realizacją Programu kieruje minister właściwy do spraw </w:t>
            </w:r>
            <w:r w:rsidRPr="002B2476">
              <w:rPr>
                <w:rFonts w:ascii="Times New Roman" w:eastAsia="Times New Roman" w:hAnsi="Times New Roman" w:cs="Times New Roman"/>
                <w:sz w:val="20"/>
                <w:szCs w:val="20"/>
                <w:lang w:eastAsia="pl-PL"/>
              </w:rPr>
              <w:lastRenderedPageBreak/>
              <w:t>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14:paraId="76FE9A3F"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14:paraId="207061E4"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14:paraId="12683D2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14:paraId="43FF968D"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14:paraId="3F3F89B2"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14:paraId="03924FC7" w14:textId="77777777"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14:paraId="1F0B3E2A" w14:textId="77777777"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14:paraId="0D5CA5EE" w14:textId="77777777" w:rsidR="002B2476" w:rsidRDefault="00A2741E" w:rsidP="000E1A81">
            <w:hyperlink r:id="rId48"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14:paraId="487FD982" w14:textId="77777777" w:rsidTr="00A506D2">
        <w:tc>
          <w:tcPr>
            <w:tcW w:w="352" w:type="pct"/>
          </w:tcPr>
          <w:p w14:paraId="2994CE0C"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4CB17D19"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01900A6"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w sprawie warunków zawarcia i realizacji umów </w:t>
            </w:r>
            <w:r w:rsidRPr="00616893">
              <w:rPr>
                <w:rFonts w:ascii="Times New Roman" w:hAnsi="Times New Roman" w:cs="Times New Roman"/>
                <w:b w:val="0"/>
                <w:color w:val="auto"/>
                <w:sz w:val="20"/>
                <w:szCs w:val="20"/>
                <w:shd w:val="clear" w:color="auto" w:fill="FFFFFF"/>
              </w:rPr>
              <w:lastRenderedPageBreak/>
              <w:t>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14:paraId="6A3AAE9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14:paraId="6849430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14:paraId="5D9D51C3"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 xml:space="preserve">z wejścia w życie aktów prawa powszechnie obowiązującego, w </w:t>
            </w:r>
            <w:r w:rsidRPr="00616893">
              <w:rPr>
                <w:rFonts w:ascii="Times New Roman" w:eastAsia="Times New Roman" w:hAnsi="Times New Roman" w:cs="Times New Roman"/>
                <w:sz w:val="20"/>
                <w:szCs w:val="20"/>
                <w:lang w:eastAsia="pl-PL"/>
              </w:rPr>
              <w:lastRenderedPageBreak/>
              <w:t>szczególności przepisów art. 159 ust. 2b ustawy o świadczeniach, oraz art. 14 ust. 2 ustawy z  dnia 27 października 2017 r. o podstawowej opiece zdrowotnej (Dz. U. z 2021 r. poz.1050), zwanej dalej „ustawą o poz”, które wchodzą w życie z dniem 1  października 2021 r;</w:t>
            </w:r>
          </w:p>
          <w:p w14:paraId="7756871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14:paraId="4D899B14"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14:paraId="330F35B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14:paraId="698D8DF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14:paraId="768B412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14:paraId="5750210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14:paraId="3810070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14:paraId="59EB3AB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14:paraId="303852C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14:paraId="7BCC5D0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14:paraId="6A19D358"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14:paraId="7BCDD64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14:paraId="22A2063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14:paraId="3CD503E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14:paraId="5302CCC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14:paraId="2D7668F9"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14:paraId="32A5F64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14:paraId="23E5786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14:paraId="3549D2C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14:paraId="6C26F1D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14:paraId="2D18494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14:paraId="17C0EF6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14:paraId="5FAD39DA"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14:paraId="13914E91" w14:textId="77777777" w:rsidR="00616893" w:rsidRDefault="00A2741E" w:rsidP="000E1A81">
            <w:hyperlink r:id="rId49" w:history="1">
              <w:r w:rsidR="00616893" w:rsidRPr="00A31A5F">
                <w:rPr>
                  <w:rStyle w:val="Hipercze"/>
                </w:rPr>
                <w:t>https://www.nfz.gov.pl/zarzadzenia-prezesa/zarzadzenia-prezesa-nfz/zarzadzenie-nr-1602021dsoz,7420.html</w:t>
              </w:r>
            </w:hyperlink>
          </w:p>
        </w:tc>
      </w:tr>
      <w:tr w:rsidR="00616893" w14:paraId="39797CE0" w14:textId="77777777" w:rsidTr="00A506D2">
        <w:tc>
          <w:tcPr>
            <w:tcW w:w="352" w:type="pct"/>
          </w:tcPr>
          <w:p w14:paraId="6BC818FB"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14:paraId="76733D55"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E04D24D"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 xml:space="preserve">ZARZĄDZENIE Nr </w:t>
            </w:r>
            <w:r w:rsidRPr="00616893">
              <w:rPr>
                <w:rFonts w:ascii="Times New Roman" w:hAnsi="Times New Roman" w:cs="Times New Roman"/>
                <w:b w:val="0"/>
                <w:color w:val="auto"/>
                <w:sz w:val="20"/>
                <w:szCs w:val="20"/>
                <w:shd w:val="clear" w:color="auto" w:fill="FFFFFF"/>
              </w:rPr>
              <w:lastRenderedPageBreak/>
              <w:t>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5A04A78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opieki zdrowotnej finansowanych ze środków publicznych (Dz. U. z 2021 r. poz. 1285, z późn. zm.), na mocy którego Prezes Narodowego </w:t>
            </w:r>
            <w:r w:rsidRPr="00616893">
              <w:rPr>
                <w:rFonts w:ascii="Times New Roman" w:eastAsia="Times New Roman" w:hAnsi="Times New Roman" w:cs="Times New Roman"/>
                <w:sz w:val="20"/>
                <w:szCs w:val="20"/>
                <w:lang w:eastAsia="pl-PL"/>
              </w:rPr>
              <w:lastRenderedPageBreak/>
              <w:t>Funduszu Zdrowia upoważniony jest do określenia szczegółowych warunków umów o udzielanie świadczeń opieki zdrowotnej w ramach systemu podstawowego szpitalnego zabezpieczenia świadczeń opieki zdrowotnej.</w:t>
            </w:r>
          </w:p>
          <w:p w14:paraId="7F9B611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14:paraId="06E8D66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14:paraId="2D74CFB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14:paraId="75511A6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14:paraId="436E145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14:paraId="710E44D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14:paraId="4B74992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14:paraId="5324DA2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47D26B67"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14:paraId="6E6F28B4" w14:textId="77777777" w:rsidR="00616893" w:rsidRDefault="00A2741E" w:rsidP="000E1A81">
            <w:hyperlink r:id="rId50" w:history="1">
              <w:r w:rsidR="00616893" w:rsidRPr="00A31A5F">
                <w:rPr>
                  <w:rStyle w:val="Hipercze"/>
                </w:rPr>
                <w:t>https://www.nfz.gov.pl/zarzadzenia-prezesa/zarzadzenia-prezesa-nfz/zarzadzenie-nr-</w:t>
              </w:r>
              <w:r w:rsidR="00616893" w:rsidRPr="00A31A5F">
                <w:rPr>
                  <w:rStyle w:val="Hipercze"/>
                </w:rPr>
                <w:lastRenderedPageBreak/>
                <w:t>1592021dsoz,7419.html</w:t>
              </w:r>
            </w:hyperlink>
          </w:p>
        </w:tc>
      </w:tr>
      <w:tr w:rsidR="00616893" w14:paraId="3009AF31" w14:textId="77777777" w:rsidTr="00A506D2">
        <w:tc>
          <w:tcPr>
            <w:tcW w:w="352" w:type="pct"/>
          </w:tcPr>
          <w:p w14:paraId="04B85E0B"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14:paraId="2FFC761B"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34BC6CC"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zmieniające zarządzenie w sprawie określenia </w:t>
            </w:r>
            <w:r w:rsidRPr="00616893">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14:paraId="0D16438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14:paraId="2A2A179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2BD8FD5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w:t>
            </w:r>
            <w:r w:rsidRPr="00616893">
              <w:rPr>
                <w:rFonts w:ascii="Times New Roman" w:eastAsia="Times New Roman" w:hAnsi="Times New Roman" w:cs="Times New Roman"/>
                <w:sz w:val="20"/>
                <w:szCs w:val="20"/>
                <w:lang w:eastAsia="pl-PL"/>
              </w:rPr>
              <w:lastRenderedPageBreak/>
              <w:t>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3E7C450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407182F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5DB8FB5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14:paraId="1C90183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5EFEED3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14:paraId="74DF705B"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14:paraId="3AE64C4B" w14:textId="77777777" w:rsidR="00616893" w:rsidRDefault="00A2741E" w:rsidP="000E1A81">
            <w:hyperlink r:id="rId51" w:history="1">
              <w:r w:rsidR="00616893" w:rsidRPr="00A31A5F">
                <w:rPr>
                  <w:rStyle w:val="Hipercze"/>
                </w:rPr>
                <w:t>https://www.nfz.gov.pl/zarzadzenia-prezesa/zarzadzenia-prezesa-nfz/zarzadzenie-nr-1582021dsoz,7418.html</w:t>
              </w:r>
            </w:hyperlink>
          </w:p>
        </w:tc>
      </w:tr>
      <w:tr w:rsidR="00616893" w14:paraId="0BC59B63" w14:textId="77777777" w:rsidTr="00A506D2">
        <w:tc>
          <w:tcPr>
            <w:tcW w:w="352" w:type="pct"/>
          </w:tcPr>
          <w:p w14:paraId="7E92AB63"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14:paraId="5BC5E4D5"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1E8A08F" w14:textId="77777777"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14:paraId="64647E5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14:paraId="7E4FBB2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14:paraId="53CAAD9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14:paraId="21715FB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14:paraId="15724A6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5C9DE1A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2FE5D9D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14:paraId="1FE40792" w14:textId="77777777"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14:paraId="0A03316D"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378BDDB8" w14:textId="77777777" w:rsidR="00616893" w:rsidRDefault="00A2741E" w:rsidP="000E1A81">
            <w:hyperlink r:id="rId52" w:history="1">
              <w:r w:rsidR="00616893" w:rsidRPr="00A31A5F">
                <w:rPr>
                  <w:rStyle w:val="Hipercze"/>
                </w:rPr>
                <w:t>https://www.nfz.gov.pl/zarzadzenia-prezesa/zarzadzenia-prezesa-nfz/zarzadzenie-nr-1572021dsoz,7417.html</w:t>
              </w:r>
            </w:hyperlink>
          </w:p>
        </w:tc>
      </w:tr>
      <w:tr w:rsidR="00BC6C26" w14:paraId="2FEF9842" w14:textId="77777777" w:rsidTr="00A506D2">
        <w:tc>
          <w:tcPr>
            <w:tcW w:w="352" w:type="pct"/>
          </w:tcPr>
          <w:p w14:paraId="36E6D9A4" w14:textId="77777777"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513836A7" w14:textId="77777777"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49588D8" w14:textId="77777777"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 xml:space="preserve">Ustawa z dnia 11 sierpnia 2021 r. o zmianie ustawy o </w:t>
            </w:r>
            <w:r w:rsidRPr="00BC6C26">
              <w:rPr>
                <w:rFonts w:ascii="Times New Roman" w:hAnsi="Times New Roman" w:cs="Times New Roman"/>
                <w:b w:val="0"/>
                <w:color w:val="auto"/>
                <w:sz w:val="20"/>
                <w:szCs w:val="20"/>
                <w:shd w:val="clear" w:color="auto" w:fill="FFFFFF"/>
              </w:rPr>
              <w:lastRenderedPageBreak/>
              <w:t>świadczeniach opieki zdrowotnej finansowanych ze środków publicznych oraz niektórych innych ustaw</w:t>
            </w:r>
          </w:p>
        </w:tc>
        <w:tc>
          <w:tcPr>
            <w:tcW w:w="2115" w:type="pct"/>
          </w:tcPr>
          <w:p w14:paraId="27AFC10E"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w:t>
            </w:r>
            <w:r w:rsidRPr="00F73B45">
              <w:rPr>
                <w:rFonts w:ascii="Times New Roman" w:eastAsia="Times New Roman" w:hAnsi="Times New Roman" w:cs="Times New Roman"/>
                <w:sz w:val="20"/>
                <w:szCs w:val="20"/>
                <w:lang w:eastAsia="pl-PL"/>
              </w:rPr>
              <w:lastRenderedPageBreak/>
              <w:t>publicznych przeznaczanych corocznie na finansowanie ochrony zdrowia.</w:t>
            </w:r>
          </w:p>
          <w:p w14:paraId="1C8DEFDC"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14:paraId="0C378020" w14:textId="77777777"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14:paraId="483AFDC0" w14:textId="77777777"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14:paraId="1A259C73" w14:textId="77777777" w:rsidR="00BC6C26" w:rsidRDefault="00A2741E" w:rsidP="000E1A81">
            <w:hyperlink r:id="rId53" w:history="1">
              <w:r w:rsidR="00BC6C26">
                <w:rPr>
                  <w:rStyle w:val="Hipercze"/>
                </w:rPr>
                <w:t xml:space="preserve">Ustawa z dnia 11 sierpnia 2021 r. o zmianie ustawy o świadczeniach opieki zdrowotnej finansowanych ze środków publicznych oraz niektórych innych ustaw </w:t>
              </w:r>
              <w:r w:rsidR="00BC6C26">
                <w:rPr>
                  <w:rStyle w:val="Hipercze"/>
                </w:rPr>
                <w:lastRenderedPageBreak/>
                <w:t>(dziennikustaw.gov.pl)</w:t>
              </w:r>
            </w:hyperlink>
          </w:p>
        </w:tc>
      </w:tr>
      <w:tr w:rsidR="0057559D" w14:paraId="38AC73B3" w14:textId="77777777" w:rsidTr="00A506D2">
        <w:tc>
          <w:tcPr>
            <w:tcW w:w="352" w:type="pct"/>
          </w:tcPr>
          <w:p w14:paraId="15B0E376"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14:paraId="3E12E448"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5CC83C2"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14:paraId="41E78F01" w14:textId="77777777"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14:paraId="6B65F7FF" w14:textId="77777777"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14:paraId="41E7DB49" w14:textId="77777777"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w:t>
            </w:r>
            <w:r w:rsidRPr="00374EA0">
              <w:rPr>
                <w:rFonts w:ascii="Times New Roman" w:eastAsia="Times New Roman" w:hAnsi="Times New Roman" w:cs="Times New Roman"/>
                <w:sz w:val="20"/>
                <w:szCs w:val="20"/>
                <w:lang w:eastAsia="pl-PL"/>
              </w:rPr>
              <w:lastRenderedPageBreak/>
              <w:t>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76D45DDA"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14:paraId="4C216855" w14:textId="77777777" w:rsidR="0057559D" w:rsidRDefault="00A2741E" w:rsidP="000E1A81">
            <w:hyperlink r:id="rId54"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14:paraId="4FA60CB5" w14:textId="77777777" w:rsidTr="00A506D2">
        <w:tc>
          <w:tcPr>
            <w:tcW w:w="352" w:type="pct"/>
          </w:tcPr>
          <w:p w14:paraId="4ADF664E"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776494BA"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8AA8DF7"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14:paraId="72153A3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14:paraId="3367F32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14:paraId="35E7F39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w:t>
            </w:r>
            <w:r w:rsidRPr="00604D3E">
              <w:rPr>
                <w:rFonts w:ascii="Times New Roman" w:eastAsia="Times New Roman" w:hAnsi="Times New Roman" w:cs="Times New Roman"/>
                <w:sz w:val="20"/>
                <w:szCs w:val="20"/>
                <w:lang w:eastAsia="pl-PL"/>
              </w:rPr>
              <w:lastRenderedPageBreak/>
              <w:t>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14:paraId="1E799CB6"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14:paraId="3A7DC151"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14:paraId="056E1A0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w:t>
            </w:r>
            <w:r w:rsidRPr="00604D3E">
              <w:rPr>
                <w:rFonts w:ascii="Times New Roman" w:eastAsia="Times New Roman" w:hAnsi="Times New Roman" w:cs="Times New Roman"/>
                <w:sz w:val="20"/>
                <w:szCs w:val="20"/>
                <w:lang w:eastAsia="pl-PL"/>
              </w:rPr>
              <w:lastRenderedPageBreak/>
              <w:t>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14:paraId="6BE9D4C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14:paraId="0494229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14:paraId="41FFEE7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w:t>
            </w:r>
            <w:r w:rsidRPr="00604D3E">
              <w:rPr>
                <w:rFonts w:ascii="Times New Roman" w:eastAsia="Times New Roman" w:hAnsi="Times New Roman" w:cs="Times New Roman"/>
                <w:sz w:val="20"/>
                <w:szCs w:val="20"/>
                <w:lang w:eastAsia="pl-PL"/>
              </w:rPr>
              <w:lastRenderedPageBreak/>
              <w:t>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14:paraId="126C55DA" w14:textId="77777777"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14:paraId="61264105"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14:paraId="139938D5"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14:paraId="7825F8F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14:paraId="63CC7D9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14:paraId="36FBA2E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14:paraId="6EA5AB4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w:t>
            </w:r>
            <w:r w:rsidRPr="00604D3E">
              <w:rPr>
                <w:rFonts w:ascii="Times New Roman" w:eastAsia="Times New Roman" w:hAnsi="Times New Roman" w:cs="Times New Roman"/>
                <w:sz w:val="20"/>
                <w:szCs w:val="20"/>
                <w:lang w:eastAsia="pl-PL"/>
              </w:rPr>
              <w:lastRenderedPageBreak/>
              <w:t>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14:paraId="64A9569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14:paraId="4F6C439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14:paraId="076AA69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14:paraId="2184DBE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14:paraId="00F5BF03"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14:paraId="6EAD742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14:paraId="0F4D3657" w14:textId="77777777"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14:paraId="202A5B88"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14:paraId="14064587" w14:textId="77777777" w:rsidR="0057559D" w:rsidRDefault="00A2741E" w:rsidP="000E1A81">
            <w:hyperlink r:id="rId55"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14:paraId="2BF0056E" w14:textId="77777777" w:rsidTr="00A506D2">
        <w:tc>
          <w:tcPr>
            <w:tcW w:w="352" w:type="pct"/>
          </w:tcPr>
          <w:p w14:paraId="30424C3A"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14:paraId="7A732A0E"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F2144E3" w14:textId="77777777"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celach medycznych, polegającą na </w:t>
            </w:r>
            <w:r w:rsidRPr="0057559D">
              <w:rPr>
                <w:rFonts w:ascii="Times New Roman" w:hAnsi="Times New Roman" w:cs="Times New Roman"/>
                <w:b w:val="0"/>
                <w:color w:val="auto"/>
                <w:sz w:val="20"/>
                <w:szCs w:val="20"/>
                <w:shd w:val="clear" w:color="auto" w:fill="FFFFFF"/>
              </w:rPr>
              <w:lastRenderedPageBreak/>
              <w:t>udzielaniu świadczeń zdrowotnych z zakresu rentgenodiagnostyki, radiologii zabiegowej lub diagnostyki związanej z podawaniem pacjentom produktów radiofarmaceutycznych</w:t>
            </w:r>
          </w:p>
        </w:tc>
        <w:tc>
          <w:tcPr>
            <w:tcW w:w="2115" w:type="pct"/>
          </w:tcPr>
          <w:p w14:paraId="2A5C7E3A"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14:paraId="39632EAB"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14:paraId="2D02276B"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14:paraId="46AF10C8"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w:t>
            </w:r>
            <w:r w:rsidRPr="00300DD8">
              <w:rPr>
                <w:rFonts w:ascii="Times New Roman" w:eastAsia="Times New Roman" w:hAnsi="Times New Roman" w:cs="Times New Roman"/>
                <w:sz w:val="20"/>
                <w:szCs w:val="20"/>
                <w:lang w:eastAsia="pl-PL"/>
              </w:rPr>
              <w:lastRenderedPageBreak/>
              <w:t xml:space="preserve">nie dłużej niż przez 24 miesiące od dnia wejścia w życie tej ustawy. </w:t>
            </w:r>
          </w:p>
          <w:p w14:paraId="4523AB7D" w14:textId="77777777"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14:paraId="0476A44B"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14:paraId="56898878" w14:textId="77777777"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14:paraId="75453869"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14:paraId="7B9205A8" w14:textId="77777777" w:rsidR="0057559D" w:rsidRDefault="00A2741E" w:rsidP="000E1A81">
            <w:hyperlink r:id="rId56"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14:paraId="2343E16B" w14:textId="77777777" w:rsidTr="00A506D2">
        <w:tc>
          <w:tcPr>
            <w:tcW w:w="352" w:type="pct"/>
          </w:tcPr>
          <w:p w14:paraId="320D0921" w14:textId="77777777" w:rsidR="00374EA0" w:rsidRDefault="00374EA0" w:rsidP="000E1A81">
            <w:pPr>
              <w:rPr>
                <w:rFonts w:ascii="Times New Roman" w:hAnsi="Times New Roman" w:cs="Times New Roman"/>
                <w:sz w:val="20"/>
                <w:szCs w:val="20"/>
              </w:rPr>
            </w:pPr>
            <w:r>
              <w:rPr>
                <w:rFonts w:ascii="Times New Roman" w:hAnsi="Times New Roman" w:cs="Times New Roman"/>
                <w:sz w:val="20"/>
                <w:szCs w:val="20"/>
              </w:rPr>
              <w:t>01.10.20221</w:t>
            </w:r>
          </w:p>
        </w:tc>
        <w:tc>
          <w:tcPr>
            <w:tcW w:w="352" w:type="pct"/>
          </w:tcPr>
          <w:p w14:paraId="39240B5C" w14:textId="77777777"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6D49021" w14:textId="77777777"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rozporządzenie w sprawie sposobu ustalania ryczałtu systemu podstawowego </w:t>
            </w:r>
            <w:r w:rsidRPr="00374EA0">
              <w:rPr>
                <w:rFonts w:ascii="Times New Roman" w:hAnsi="Times New Roman" w:cs="Times New Roman"/>
                <w:b w:val="0"/>
                <w:color w:val="auto"/>
                <w:sz w:val="20"/>
                <w:szCs w:val="20"/>
                <w:shd w:val="clear" w:color="auto" w:fill="FFFFFF"/>
              </w:rPr>
              <w:lastRenderedPageBreak/>
              <w:t>szpitalnego zabezpieczenia świadczeń opieki zdrowotnej</w:t>
            </w:r>
          </w:p>
        </w:tc>
        <w:tc>
          <w:tcPr>
            <w:tcW w:w="2115" w:type="pct"/>
          </w:tcPr>
          <w:p w14:paraId="13AA1550" w14:textId="77777777"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w:t>
            </w:r>
            <w:r w:rsidRPr="00671021">
              <w:rPr>
                <w:rFonts w:ascii="Times New Roman" w:eastAsia="Times New Roman" w:hAnsi="Times New Roman" w:cs="Times New Roman"/>
                <w:sz w:val="20"/>
                <w:szCs w:val="20"/>
                <w:lang w:eastAsia="pl-PL"/>
              </w:rPr>
              <w:lastRenderedPageBreak/>
              <w:t>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14:paraId="7F0050EF" w14:textId="77777777"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14:paraId="4A2DEDD7" w14:textId="77777777"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 z mocą obowiązującą od dnia 1 stycznia 2021 r.</w:t>
            </w:r>
          </w:p>
        </w:tc>
        <w:tc>
          <w:tcPr>
            <w:tcW w:w="1174" w:type="pct"/>
          </w:tcPr>
          <w:p w14:paraId="5F0A2540" w14:textId="77777777" w:rsidR="00374EA0" w:rsidRDefault="00A2741E" w:rsidP="000E1A81">
            <w:hyperlink r:id="rId57"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14:paraId="5C5081D4" w14:textId="77777777" w:rsidTr="00A506D2">
        <w:tc>
          <w:tcPr>
            <w:tcW w:w="352" w:type="pct"/>
          </w:tcPr>
          <w:p w14:paraId="7E2B7F30"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65BB52EA"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E68CC39" w14:textId="77777777"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14:paraId="756F9227"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14:paraId="5446CE24" w14:textId="77777777"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w:t>
            </w:r>
            <w:r w:rsidRPr="00374EA0">
              <w:rPr>
                <w:rFonts w:ascii="Times New Roman" w:eastAsia="Times New Roman" w:hAnsi="Times New Roman" w:cs="Times New Roman"/>
                <w:sz w:val="20"/>
                <w:szCs w:val="20"/>
                <w:lang w:eastAsia="pl-PL"/>
              </w:rPr>
              <w:lastRenderedPageBreak/>
              <w:t>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14:paraId="3B5F0B2D" w14:textId="77777777"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14:paraId="483C9DDB" w14:textId="77777777"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14:paraId="5880B299" w14:textId="77777777" w:rsidR="00BC6958" w:rsidRDefault="00A2741E" w:rsidP="000E1A81">
            <w:hyperlink r:id="rId58" w:history="1">
              <w:r w:rsidR="00BC6C26">
                <w:rPr>
                  <w:rStyle w:val="Hipercze"/>
                </w:rPr>
                <w:t>Rozporządzenie Ministra Zdrowia z dnia 28 września 2021 r. zmieniające rozporządzenie w sprawie metody zapobiegania COVID-19 (dziennikustaw.gov.pl)</w:t>
              </w:r>
            </w:hyperlink>
          </w:p>
        </w:tc>
      </w:tr>
      <w:tr w:rsidR="0086291E" w14:paraId="26148F93" w14:textId="77777777" w:rsidTr="00A506D2">
        <w:tc>
          <w:tcPr>
            <w:tcW w:w="352" w:type="pct"/>
          </w:tcPr>
          <w:p w14:paraId="17919196"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468AECBA"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AA86F1D" w14:textId="77777777"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14:paraId="0ABB99AF"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5A038280"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53B23D9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77F2BD6C"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3659CF12"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2E69C2AD"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2A5E3839"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7B9FA038"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porównawczej poszczególnych usługodawców pod względem osiąganych wyników leczenia </w:t>
            </w:r>
            <w:r w:rsidRPr="00BC6958">
              <w:rPr>
                <w:rFonts w:ascii="Times New Roman" w:eastAsia="Times New Roman" w:hAnsi="Times New Roman" w:cs="Times New Roman"/>
                <w:sz w:val="20"/>
                <w:szCs w:val="20"/>
                <w:lang w:eastAsia="pl-PL"/>
              </w:rPr>
              <w:lastRenderedPageBreak/>
              <w:t>wad serca metodami przezcewnikowymi;</w:t>
            </w:r>
          </w:p>
          <w:p w14:paraId="35D2896B"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68EE981F"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244EDDB1"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009B8F85" w14:textId="77777777"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14:paraId="6ADD87FA" w14:textId="77777777"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14:paraId="4FB67789" w14:textId="77777777" w:rsidR="0086291E" w:rsidRDefault="00A2741E" w:rsidP="000E1A81">
            <w:hyperlink r:id="rId59" w:history="1">
              <w:r w:rsidR="00BC6958">
                <w:rPr>
                  <w:rStyle w:val="Hipercze"/>
                </w:rPr>
                <w:t>Akt prawny (legislacja.gov.pl)</w:t>
              </w:r>
            </w:hyperlink>
          </w:p>
        </w:tc>
      </w:tr>
      <w:tr w:rsidR="0047713B" w14:paraId="3BFE030C" w14:textId="77777777" w:rsidTr="00A506D2">
        <w:tc>
          <w:tcPr>
            <w:tcW w:w="352" w:type="pct"/>
          </w:tcPr>
          <w:p w14:paraId="7DD4B4D8"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642AB662"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14:paraId="55A3A771" w14:textId="77777777"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lastRenderedPageBreak/>
              <w:t xml:space="preserve">Projekt </w:t>
            </w:r>
            <w:r w:rsidRPr="00144F6F">
              <w:rPr>
                <w:rFonts w:ascii="Times New Roman" w:hAnsi="Times New Roman" w:cs="Times New Roman"/>
                <w:b w:val="0"/>
                <w:color w:val="auto"/>
                <w:sz w:val="20"/>
                <w:szCs w:val="20"/>
                <w:shd w:val="clear" w:color="auto" w:fill="FFFFFF"/>
              </w:rPr>
              <w:lastRenderedPageBreak/>
              <w:t>rozporządzenia Ministra Zdrowia zmieniającego rozporządzenie w sprawie podziału kwoty środków finansowych w 2022 r. stanowiącej wzrost całkowitego budżetu na refundację</w:t>
            </w:r>
          </w:p>
        </w:tc>
        <w:tc>
          <w:tcPr>
            <w:tcW w:w="2115" w:type="pct"/>
          </w:tcPr>
          <w:p w14:paraId="025B6BBA"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 xml:space="preserve">W związku ze wzrostem całkowitego budżetu na refundację w roku rozliczeniowym (2022 r.) w stosunku do całkowitego budżetu na refundację w roku poprzedzającym (2021 r.) ustala się kwotę środków </w:t>
            </w:r>
            <w:r w:rsidRPr="00567EC4">
              <w:rPr>
                <w:rFonts w:ascii="Times New Roman" w:eastAsia="Times New Roman" w:hAnsi="Times New Roman" w:cs="Times New Roman"/>
                <w:sz w:val="20"/>
                <w:szCs w:val="20"/>
                <w:lang w:eastAsia="pl-PL"/>
              </w:rPr>
              <w:lastRenderedPageBreak/>
              <w:t>finansowych przeznaczonych na:</w:t>
            </w:r>
          </w:p>
          <w:p w14:paraId="0840719A" w14:textId="77777777"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2B52C8D0"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21EE8FF3" w14:textId="77777777"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581510F0"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3B37BD76"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646C3A2C" w14:textId="77777777"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27008FD0" w14:textId="77777777"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11 </w:t>
            </w:r>
            <w:r>
              <w:rPr>
                <w:rFonts w:ascii="Times New Roman" w:hAnsi="Times New Roman" w:cs="Times New Roman"/>
                <w:sz w:val="20"/>
                <w:szCs w:val="20"/>
              </w:rPr>
              <w:lastRenderedPageBreak/>
              <w:t>października 2021 r (</w:t>
            </w:r>
            <w:hyperlink r:id="rId60" w:history="1">
              <w:r w:rsidR="0086291E" w:rsidRPr="004D0769">
                <w:rPr>
                  <w:rStyle w:val="Hipercze"/>
                </w:rPr>
                <w:t>dep-pl@mz.gov.pl</w:t>
              </w:r>
            </w:hyperlink>
            <w:r>
              <w:t xml:space="preserve">) </w:t>
            </w:r>
          </w:p>
        </w:tc>
        <w:tc>
          <w:tcPr>
            <w:tcW w:w="1174" w:type="pct"/>
          </w:tcPr>
          <w:p w14:paraId="5B99F2A1" w14:textId="77777777" w:rsidR="0047713B" w:rsidRDefault="00A2741E" w:rsidP="000E1A81">
            <w:hyperlink r:id="rId61" w:history="1">
              <w:r w:rsidR="00567EC4">
                <w:rPr>
                  <w:rStyle w:val="Hipercze"/>
                </w:rPr>
                <w:t>Akt prawny (legislacja.gov.pl)</w:t>
              </w:r>
            </w:hyperlink>
          </w:p>
        </w:tc>
      </w:tr>
      <w:tr w:rsidR="0054537B" w14:paraId="5D28C8E1" w14:textId="77777777" w:rsidTr="00A506D2">
        <w:tc>
          <w:tcPr>
            <w:tcW w:w="352" w:type="pct"/>
          </w:tcPr>
          <w:p w14:paraId="1AC7C72B"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7D306DFF"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5F8C460" w14:textId="77777777"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zmieniającego rozporządzenie w sprawie składu oraz oznakowania suplementów </w:t>
            </w:r>
            <w:r w:rsidRPr="0054537B">
              <w:rPr>
                <w:rFonts w:ascii="Times New Roman" w:hAnsi="Times New Roman" w:cs="Times New Roman"/>
                <w:b w:val="0"/>
                <w:color w:val="auto"/>
                <w:sz w:val="20"/>
                <w:szCs w:val="20"/>
                <w:shd w:val="clear" w:color="auto" w:fill="FFFFFF"/>
              </w:rPr>
              <w:lastRenderedPageBreak/>
              <w:t>diety</w:t>
            </w:r>
          </w:p>
        </w:tc>
        <w:tc>
          <w:tcPr>
            <w:tcW w:w="2115" w:type="pct"/>
          </w:tcPr>
          <w:p w14:paraId="739270B6" w14:textId="77777777"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53FAEE27" w14:textId="77777777"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z 2018 r. poz. 1951), które wdraża już dyrektywę Komisji 2002/46/WE Parlamentu Europejskiego i Rady z </w:t>
            </w:r>
            <w:r w:rsidRPr="0047713B">
              <w:rPr>
                <w:rFonts w:ascii="Times New Roman" w:eastAsia="Times New Roman" w:hAnsi="Times New Roman" w:cs="Times New Roman"/>
                <w:sz w:val="20"/>
                <w:szCs w:val="20"/>
                <w:lang w:eastAsia="pl-PL"/>
              </w:rPr>
              <w:lastRenderedPageBreak/>
              <w:t>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5C8F27B5" w14:textId="77777777"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62" w:history="1">
              <w:r w:rsidRPr="004D0769">
                <w:rPr>
                  <w:rStyle w:val="Hipercze"/>
                </w:rPr>
                <w:t>sekretariat.pr@gis.gov.pl</w:t>
              </w:r>
            </w:hyperlink>
            <w:r>
              <w:t xml:space="preserve">) </w:t>
            </w:r>
          </w:p>
        </w:tc>
        <w:tc>
          <w:tcPr>
            <w:tcW w:w="1174" w:type="pct"/>
          </w:tcPr>
          <w:p w14:paraId="7AF326EA" w14:textId="77777777" w:rsidR="0054537B" w:rsidRDefault="00A2741E" w:rsidP="000E1A81">
            <w:hyperlink r:id="rId63" w:history="1">
              <w:r w:rsidR="0047713B">
                <w:rPr>
                  <w:rStyle w:val="Hipercze"/>
                </w:rPr>
                <w:t>Akt prawny (legislacja.gov.pl)</w:t>
              </w:r>
            </w:hyperlink>
          </w:p>
        </w:tc>
      </w:tr>
      <w:tr w:rsidR="004D7BA5" w14:paraId="1146318F" w14:textId="77777777" w:rsidTr="00A506D2">
        <w:tc>
          <w:tcPr>
            <w:tcW w:w="352" w:type="pct"/>
          </w:tcPr>
          <w:p w14:paraId="00AF52E8" w14:textId="77777777"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10C48B9" w14:textId="77777777"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F4ED520" w14:textId="77777777"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14:paraId="7E52EB7D"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14:paraId="4E210376"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14:paraId="638E92D1"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14:paraId="6FA34AAB" w14:textId="77777777"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14:paraId="66746DCB" w14:textId="77777777"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1BA4DF56" w14:textId="77777777"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t xml:space="preserve">Opinie i uwagi do dnia 15 października 2021 r. </w:t>
            </w:r>
            <w:hyperlink r:id="rId64"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14:paraId="1F18B0E0" w14:textId="77777777" w:rsidR="004D7BA5" w:rsidRDefault="00A2741E" w:rsidP="000E1A81">
            <w:hyperlink r:id="rId65" w:history="1">
              <w:r w:rsidR="00C005FC">
                <w:rPr>
                  <w:rStyle w:val="Hipercze"/>
                </w:rPr>
                <w:t>Projekty zarządzeń / Zarządzenia Prezesa / Narodowy Fundusz Zdrowia (NFZ) – finansujemy zdrowie Polaków</w:t>
              </w:r>
            </w:hyperlink>
          </w:p>
        </w:tc>
      </w:tr>
      <w:tr w:rsidR="00DB309D" w14:paraId="20C454A0" w14:textId="77777777" w:rsidTr="00A506D2">
        <w:tc>
          <w:tcPr>
            <w:tcW w:w="352" w:type="pct"/>
          </w:tcPr>
          <w:p w14:paraId="4CE7E68F"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14:paraId="7784CAD8"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C66CAF0" w14:textId="77777777"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14:paraId="4E84267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14:paraId="3EC37AF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6C504ABC"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5F5010AC"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1D9C726C"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w:t>
            </w:r>
            <w:r w:rsidRPr="00DB309D">
              <w:rPr>
                <w:rFonts w:ascii="Times New Roman" w:eastAsia="Times New Roman" w:hAnsi="Times New Roman" w:cs="Times New Roman"/>
                <w:sz w:val="20"/>
                <w:szCs w:val="20"/>
                <w:lang w:eastAsia="pl-PL"/>
              </w:rPr>
              <w:lastRenderedPageBreak/>
              <w:t>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14:paraId="15DE6E3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14:paraId="113699FC"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14:paraId="76BE0AE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14:paraId="73B4F5CA" w14:textId="77777777"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66"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14:paraId="0046374E" w14:textId="77777777" w:rsidR="00DB309D" w:rsidRDefault="00A2741E" w:rsidP="000E1A81">
            <w:hyperlink r:id="rId67" w:history="1">
              <w:r w:rsidR="00DB309D">
                <w:rPr>
                  <w:rStyle w:val="Hipercze"/>
                </w:rPr>
                <w:t>Projekty zarządzeń / Zarządzenia Prezesa / Narodowy Fundusz Zdrowia (NFZ) – finansujemy zdrowie Polaków</w:t>
              </w:r>
            </w:hyperlink>
          </w:p>
        </w:tc>
      </w:tr>
      <w:tr w:rsidR="00DB309D" w14:paraId="64BD1F8B" w14:textId="77777777" w:rsidTr="00A506D2">
        <w:tc>
          <w:tcPr>
            <w:tcW w:w="352" w:type="pct"/>
          </w:tcPr>
          <w:p w14:paraId="26EF34D3"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1CA5B71"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B22E142" w14:textId="77777777"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14:paraId="5428675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14:paraId="2D111739"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14:paraId="03B4BC67"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14:paraId="47AC74F6"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w:t>
            </w:r>
            <w:r w:rsidRPr="00DB309D">
              <w:rPr>
                <w:rFonts w:ascii="Times New Roman" w:eastAsia="Times New Roman" w:hAnsi="Times New Roman" w:cs="Times New Roman"/>
                <w:sz w:val="20"/>
                <w:szCs w:val="20"/>
                <w:lang w:eastAsia="pl-PL"/>
              </w:rPr>
              <w:lastRenderedPageBreak/>
              <w:t>pilotażowego, zgodnie z § 4 pkt 2 rozporządzenia w sprawie programu pilotażowego opieki nad świadczeniobiorcom w ramach sieci kardiologicznej, wynosi 18 miesięcy.</w:t>
            </w:r>
          </w:p>
          <w:p w14:paraId="3E0FEE63" w14:textId="77777777"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43930D3" w14:textId="77777777"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14:paraId="2112AE80" w14:textId="77777777" w:rsidR="00DB309D" w:rsidRDefault="00A2741E" w:rsidP="000E1A81">
            <w:hyperlink r:id="rId68" w:history="1">
              <w:r w:rsidR="00DB309D">
                <w:rPr>
                  <w:rStyle w:val="Hipercze"/>
                </w:rPr>
                <w:t>Zarządzenia Prezesa NFZ / Zarządzenia Prezesa / Narodowy Fundusz Zdrowia (NFZ) – finansujemy zdrowie Polaków</w:t>
              </w:r>
            </w:hyperlink>
          </w:p>
        </w:tc>
      </w:tr>
      <w:tr w:rsidR="009E385E" w14:paraId="79BBD081" w14:textId="77777777" w:rsidTr="00A506D2">
        <w:tc>
          <w:tcPr>
            <w:tcW w:w="352" w:type="pct"/>
          </w:tcPr>
          <w:p w14:paraId="466FF66E"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04DB91F"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0C3A7F6" w14:textId="77777777"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7D0F7011"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544B2500"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14:paraId="61D74F55"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14:paraId="1C0B6405"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Powyższe zmiany wpisują się w kluczowe dla Narodowego Funduszu </w:t>
            </w:r>
            <w:r w:rsidRPr="009E385E">
              <w:rPr>
                <w:rFonts w:ascii="Times New Roman" w:eastAsia="Times New Roman" w:hAnsi="Times New Roman" w:cs="Times New Roman"/>
                <w:sz w:val="20"/>
                <w:szCs w:val="20"/>
                <w:lang w:eastAsia="pl-PL"/>
              </w:rPr>
              <w:lastRenderedPageBreak/>
              <w:t>Zdrowia cele określone w Strategii na lata 2019-2023 jak: (cel 2) poprawa jakości i dostępności świadczeń opieki zdrowotnej oraz (cel 5) poprawa efektywności wydatkowania środków publicznych na świadczenia opieki zdrowotnej.</w:t>
            </w:r>
          </w:p>
          <w:p w14:paraId="7C08DC1E"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14:paraId="7AF175F6" w14:textId="77777777"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14:paraId="1C47635E" w14:textId="77777777" w:rsidR="009E385E" w:rsidRDefault="00A2741E" w:rsidP="000E1A81">
            <w:hyperlink r:id="rId69" w:history="1">
              <w:r w:rsidR="00DB309D">
                <w:rPr>
                  <w:rStyle w:val="Hipercze"/>
                </w:rPr>
                <w:t>Zarządzenia Prezesa NFZ / Zarządzenia Prezesa / Narodowy Fundusz Zdrowia (NFZ) – finansujemy zdrowie Polaków</w:t>
              </w:r>
            </w:hyperlink>
          </w:p>
        </w:tc>
      </w:tr>
      <w:tr w:rsidR="009E385E" w14:paraId="6260965E" w14:textId="77777777" w:rsidTr="00A506D2">
        <w:tc>
          <w:tcPr>
            <w:tcW w:w="352" w:type="pct"/>
          </w:tcPr>
          <w:p w14:paraId="353AF061"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1249B78"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646D2973" w14:textId="77777777"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14:paraId="4ADC1F55"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14:paraId="79AAD1B3" w14:textId="77777777"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14:paraId="293BA75B" w14:textId="77777777"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14:paraId="7090141D" w14:textId="77777777" w:rsidR="009E385E" w:rsidRDefault="00A2741E" w:rsidP="000E1A81">
            <w:hyperlink r:id="rId70" w:history="1">
              <w:r w:rsidR="009E385E">
                <w:rPr>
                  <w:rStyle w:val="Hipercze"/>
                </w:rPr>
                <w:t>Zarządzenia Prezesa NFZ / Zarządzenia Prezesa / Narodowy Fundusz Zdrowia (NFZ) – finansujemy zdrowie Polaków</w:t>
              </w:r>
            </w:hyperlink>
          </w:p>
        </w:tc>
      </w:tr>
      <w:tr w:rsidR="001F65CF" w14:paraId="37BD96E3" w14:textId="77777777" w:rsidTr="00A506D2">
        <w:tc>
          <w:tcPr>
            <w:tcW w:w="352" w:type="pct"/>
          </w:tcPr>
          <w:p w14:paraId="2E757B7A"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C0EBD4D" w14:textId="77777777"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C8125D7" w14:textId="77777777"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 xml:space="preserve">zmieniające zarządzenie w sprawie zasad sprawozdawania </w:t>
            </w:r>
            <w:r w:rsidRPr="000330D6">
              <w:rPr>
                <w:rFonts w:ascii="Times New Roman" w:hAnsi="Times New Roman" w:cs="Times New Roman"/>
                <w:b w:val="0"/>
                <w:color w:val="auto"/>
                <w:sz w:val="20"/>
                <w:szCs w:val="20"/>
                <w:shd w:val="clear" w:color="auto" w:fill="FFFFFF"/>
              </w:rPr>
              <w:lastRenderedPageBreak/>
              <w:t>oraz warunków rozliczania świadczeń opieki zdrowotnej związanych z zapobieganiem, przeciwdziałaniem i zwalczaniem COVID-19</w:t>
            </w:r>
          </w:p>
        </w:tc>
        <w:tc>
          <w:tcPr>
            <w:tcW w:w="2115" w:type="pct"/>
          </w:tcPr>
          <w:p w14:paraId="51956E1D"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14:paraId="6CAE3389"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w:t>
            </w:r>
            <w:r w:rsidRPr="000330D6">
              <w:rPr>
                <w:rFonts w:ascii="Times New Roman" w:eastAsia="Times New Roman" w:hAnsi="Times New Roman" w:cs="Times New Roman"/>
                <w:sz w:val="20"/>
                <w:szCs w:val="20"/>
                <w:lang w:eastAsia="pl-PL"/>
              </w:rPr>
              <w:lastRenderedPageBreak/>
              <w:t>2021 r. w sprawie metody zapobiegania grypie sezonowej w sezonie 2021/2022 (Dz. U. poz. 1581).</w:t>
            </w:r>
          </w:p>
          <w:p w14:paraId="71FC0946"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14:paraId="6CFCC208"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14:paraId="37AC93A2"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14:paraId="72A888E3"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14:paraId="469860E7" w14:textId="77777777"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14:paraId="5ECA623F" w14:textId="77777777"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14:paraId="1527ED0C" w14:textId="77777777" w:rsidR="001F65CF" w:rsidRDefault="00A2741E" w:rsidP="000E1A81">
            <w:hyperlink r:id="rId71" w:history="1">
              <w:r w:rsidR="000330D6">
                <w:rPr>
                  <w:rStyle w:val="Hipercze"/>
                </w:rPr>
                <w:t>Zarządzenia Prezesa NFZ / Zarządzenia Prezesa / Narodowy Fundusz Zdrowia (NFZ) – finansujemy zdrowie Polaków</w:t>
              </w:r>
            </w:hyperlink>
          </w:p>
        </w:tc>
      </w:tr>
      <w:tr w:rsidR="001F65CF" w14:paraId="06B10855" w14:textId="77777777" w:rsidTr="00A506D2">
        <w:tc>
          <w:tcPr>
            <w:tcW w:w="352" w:type="pct"/>
          </w:tcPr>
          <w:p w14:paraId="7F525EC6"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60AC9BE"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6EA4295" w14:textId="77777777"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 xml:space="preserve">ZARZĄDZENIE Nr 162/2020/DGL PREZESA </w:t>
            </w:r>
            <w:r w:rsidRPr="001F65CF">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14:paraId="54092FAF" w14:textId="77777777"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 xml:space="preserve">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w:t>
            </w:r>
            <w:r w:rsidRPr="001F65CF">
              <w:rPr>
                <w:rFonts w:ascii="Times New Roman" w:eastAsia="Times New Roman" w:hAnsi="Times New Roman" w:cs="Times New Roman"/>
                <w:sz w:val="20"/>
                <w:szCs w:val="20"/>
                <w:lang w:eastAsia="pl-PL"/>
              </w:rPr>
              <w:lastRenderedPageBreak/>
              <w:t>Funduszu Zdrowia z dnia 10 czerwca 2021 r. i zarządzeniem Nr 136/2021/DGL Prezesa Narodowego Funduszu Zdrowia z dnia 27 lipca 2021 r.</w:t>
            </w:r>
          </w:p>
        </w:tc>
        <w:tc>
          <w:tcPr>
            <w:tcW w:w="448" w:type="pct"/>
          </w:tcPr>
          <w:p w14:paraId="7F773971" w14:textId="77777777" w:rsidR="001F65CF" w:rsidRDefault="001F65CF" w:rsidP="009E61DF">
            <w:pPr>
              <w:jc w:val="center"/>
              <w:rPr>
                <w:rFonts w:ascii="Times New Roman" w:hAnsi="Times New Roman" w:cs="Times New Roman"/>
                <w:sz w:val="20"/>
                <w:szCs w:val="20"/>
              </w:rPr>
            </w:pPr>
          </w:p>
        </w:tc>
        <w:tc>
          <w:tcPr>
            <w:tcW w:w="1174" w:type="pct"/>
          </w:tcPr>
          <w:p w14:paraId="1BE3A155" w14:textId="77777777" w:rsidR="001F65CF" w:rsidRDefault="00A2741E" w:rsidP="000E1A81">
            <w:hyperlink r:id="rId72" w:history="1">
              <w:r w:rsidR="001F65CF">
                <w:rPr>
                  <w:rStyle w:val="Hipercze"/>
                </w:rPr>
                <w:t>Zarządzenia Prezesa NFZ / Zarządzenia Prezesa / Narodowy Fundusz Zdrowia (NFZ) – finansujemy zdrowie Polaków</w:t>
              </w:r>
            </w:hyperlink>
          </w:p>
        </w:tc>
      </w:tr>
      <w:tr w:rsidR="001F65CF" w14:paraId="4E43A6EE" w14:textId="77777777" w:rsidTr="00A506D2">
        <w:tc>
          <w:tcPr>
            <w:tcW w:w="352" w:type="pct"/>
          </w:tcPr>
          <w:p w14:paraId="50995F2C"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6E500F7"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A62BF60" w14:textId="77777777"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14:paraId="79548FD3" w14:textId="77777777"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14:paraId="3C1E9C92" w14:textId="77777777" w:rsidR="001F65CF" w:rsidRDefault="001F65CF" w:rsidP="009E61DF">
            <w:pPr>
              <w:jc w:val="center"/>
              <w:rPr>
                <w:rFonts w:ascii="Times New Roman" w:hAnsi="Times New Roman" w:cs="Times New Roman"/>
                <w:sz w:val="20"/>
                <w:szCs w:val="20"/>
              </w:rPr>
            </w:pPr>
          </w:p>
        </w:tc>
        <w:tc>
          <w:tcPr>
            <w:tcW w:w="1174" w:type="pct"/>
          </w:tcPr>
          <w:p w14:paraId="7D695DE2" w14:textId="77777777" w:rsidR="001F65CF" w:rsidRDefault="00A2741E" w:rsidP="000E1A81">
            <w:hyperlink r:id="rId73" w:history="1">
              <w:r w:rsidR="001F65CF">
                <w:rPr>
                  <w:rStyle w:val="Hipercze"/>
                </w:rPr>
                <w:t>Zarządzenia Prezesa NFZ / Zarządzenia Prezesa / Narodowy Fundusz Zdrowia (NFZ) – finansujemy zdrowie Polaków</w:t>
              </w:r>
            </w:hyperlink>
          </w:p>
        </w:tc>
      </w:tr>
      <w:tr w:rsidR="00211ED0" w14:paraId="53DA71FD" w14:textId="77777777" w:rsidTr="00A506D2">
        <w:tc>
          <w:tcPr>
            <w:tcW w:w="352" w:type="pct"/>
          </w:tcPr>
          <w:p w14:paraId="1467CDCF"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14:paraId="6D4F2D67"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118DB2E5" w14:textId="77777777"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14:paraId="0414B304" w14:textId="77777777"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14:paraId="2924604B"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14:paraId="738EEDCB"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14:paraId="4D4568B3"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14:paraId="7ACE80DA"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14:paraId="5F3225A0"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w:t>
            </w:r>
            <w:r w:rsidRPr="00AF4D3B">
              <w:rPr>
                <w:rFonts w:ascii="Times New Roman" w:eastAsia="Times New Roman" w:hAnsi="Times New Roman" w:cs="Times New Roman"/>
                <w:sz w:val="20"/>
                <w:szCs w:val="20"/>
                <w:lang w:eastAsia="pl-PL"/>
              </w:rPr>
              <w:lastRenderedPageBreak/>
              <w:t>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14:paraId="21DA63D6"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14:paraId="5234D41F"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14:paraId="4FBA78C3"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14:paraId="3FB79FF7"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14:paraId="02809961" w14:textId="77777777"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14:paraId="1A88DF21" w14:textId="77777777"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14:paraId="0FE4B402" w14:textId="77777777" w:rsidR="00211ED0" w:rsidRDefault="00A2741E" w:rsidP="000E1A81">
            <w:hyperlink r:id="rId74" w:history="1">
              <w:r w:rsidR="00AF4D3B">
                <w:rPr>
                  <w:rStyle w:val="Hipercze"/>
                </w:rPr>
                <w:t>Zarządzenia Prezesa NFZ / Zarządzenia Prezesa / Narodowy Fundusz Zdrowia (NFZ) – finansujemy zdrowie Polaków</w:t>
              </w:r>
            </w:hyperlink>
          </w:p>
        </w:tc>
      </w:tr>
      <w:tr w:rsidR="00715264" w14:paraId="43F3DAFF" w14:textId="77777777" w:rsidTr="00A506D2">
        <w:tc>
          <w:tcPr>
            <w:tcW w:w="352" w:type="pct"/>
          </w:tcPr>
          <w:p w14:paraId="7E53D8C3"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1AFB995"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D6F75FF" w14:textId="77777777"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zdrowotnej w zakresie podstawowej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14:paraId="380EB4FE"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14:paraId="274249C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14:paraId="3514C7B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14:paraId="793E4CFB"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14:paraId="661C3E67"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14:paraId="6492F41F"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w:t>
            </w:r>
            <w:r w:rsidRPr="00715264">
              <w:rPr>
                <w:rFonts w:ascii="Times New Roman" w:eastAsia="Times New Roman" w:hAnsi="Times New Roman" w:cs="Times New Roman"/>
                <w:sz w:val="20"/>
                <w:szCs w:val="20"/>
                <w:lang w:eastAsia="pl-PL"/>
              </w:rPr>
              <w:lastRenderedPageBreak/>
              <w:t xml:space="preserve">udzielonych bez pośrednictwa systemów teleinformatycznych. </w:t>
            </w:r>
          </w:p>
          <w:p w14:paraId="74AC290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14:paraId="0BAE83E7" w14:textId="77777777"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14:paraId="4106FBBA" w14:textId="77777777" w:rsidR="00715264" w:rsidRDefault="00A2741E" w:rsidP="000E1A81">
            <w:hyperlink r:id="rId75" w:history="1">
              <w:r w:rsidR="00211ED0">
                <w:rPr>
                  <w:rStyle w:val="Hipercze"/>
                </w:rPr>
                <w:t>Zarządzenia Prezesa NFZ / Zarządzenia Prezesa / Narodowy Fundusz Zdrowia (NFZ) – finansujemy zdrowie Polaków</w:t>
              </w:r>
            </w:hyperlink>
          </w:p>
        </w:tc>
      </w:tr>
      <w:tr w:rsidR="00715264" w14:paraId="6ECE66CC" w14:textId="77777777" w:rsidTr="00A506D2">
        <w:tc>
          <w:tcPr>
            <w:tcW w:w="352" w:type="pct"/>
          </w:tcPr>
          <w:p w14:paraId="7D254CF6"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B0681E4"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3B1B981" w14:textId="77777777"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3426741D"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424145BE"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14:paraId="5D1D4F4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14:paraId="48766A8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14:paraId="01E15E77"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zakresie § 1 pkt 2 niniejszego zarządzenia (dotyczącego § 15 ust. 4 pkt 3) dodano przepis, który ma na celu doprecyzowanie regulacji w </w:t>
            </w:r>
            <w:r w:rsidRPr="00715264">
              <w:rPr>
                <w:rFonts w:ascii="Times New Roman" w:eastAsia="Times New Roman" w:hAnsi="Times New Roman" w:cs="Times New Roman"/>
                <w:sz w:val="20"/>
                <w:szCs w:val="20"/>
                <w:lang w:eastAsia="pl-PL"/>
              </w:rPr>
              <w:lastRenderedPageBreak/>
              <w:t>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14:paraId="3DF1AF28" w14:textId="77777777"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BD966A6" w14:textId="77777777"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14:paraId="5E43EC55" w14:textId="77777777" w:rsidR="00715264" w:rsidRDefault="00A2741E" w:rsidP="000E1A81">
            <w:hyperlink r:id="rId76" w:history="1">
              <w:r w:rsidR="00715264">
                <w:rPr>
                  <w:rStyle w:val="Hipercze"/>
                </w:rPr>
                <w:t>Zarządzenia Prezesa NFZ / Zarządzenia Prezesa / Narodowy Fundusz Zdrowia (NFZ) – finansujemy zdrowie Polaków</w:t>
              </w:r>
            </w:hyperlink>
          </w:p>
        </w:tc>
      </w:tr>
      <w:tr w:rsidR="00D65071" w14:paraId="78C6F6DA" w14:textId="77777777" w:rsidTr="00A506D2">
        <w:tc>
          <w:tcPr>
            <w:tcW w:w="352" w:type="pct"/>
          </w:tcPr>
          <w:p w14:paraId="7F4A8BDA"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9E43230"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2664F59" w14:textId="77777777"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14:paraId="59FF0975"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14:paraId="281ABEB9"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14:paraId="2513844B" w14:textId="77777777" w:rsidR="00D65071" w:rsidRDefault="00A2741E" w:rsidP="000E1A81">
            <w:hyperlink r:id="rId77" w:history="1">
              <w:r w:rsidR="00D65071">
                <w:rPr>
                  <w:rStyle w:val="Hipercze"/>
                </w:rPr>
                <w:t>Obwieszczenie (mz.gov.pl)</w:t>
              </w:r>
            </w:hyperlink>
          </w:p>
        </w:tc>
      </w:tr>
      <w:tr w:rsidR="00D65071" w14:paraId="53987B68" w14:textId="77777777" w:rsidTr="00A506D2">
        <w:tc>
          <w:tcPr>
            <w:tcW w:w="352" w:type="pct"/>
          </w:tcPr>
          <w:p w14:paraId="03F8FF96"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271D0AC"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35F0C48" w14:textId="77777777"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24 września 2021 r. w sprawie </w:t>
            </w:r>
            <w:r w:rsidRPr="00D65071">
              <w:rPr>
                <w:rFonts w:ascii="Times New Roman" w:hAnsi="Times New Roman" w:cs="Times New Roman"/>
                <w:b w:val="0"/>
                <w:color w:val="auto"/>
                <w:sz w:val="20"/>
                <w:szCs w:val="20"/>
                <w:shd w:val="clear" w:color="auto" w:fill="FFFFFF"/>
              </w:rPr>
              <w:lastRenderedPageBreak/>
              <w:t>standardów akredytacyjnych w zakresie udzielania świadczeń zdrowotnych oraz funkcjonowania jednostek diagnostyki patomorfologicznej</w:t>
            </w:r>
          </w:p>
        </w:tc>
        <w:tc>
          <w:tcPr>
            <w:tcW w:w="2115" w:type="pct"/>
          </w:tcPr>
          <w:p w14:paraId="50671008"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14:paraId="1CDEE6A3"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2E42CBFD" w14:textId="77777777" w:rsidR="00D65071" w:rsidRDefault="00A2741E" w:rsidP="000E1A81">
            <w:hyperlink r:id="rId78" w:history="1">
              <w:r w:rsidR="00D65071">
                <w:rPr>
                  <w:rStyle w:val="Hipercze"/>
                </w:rPr>
                <w:t>akt.pdf (mz.gov.pl)</w:t>
              </w:r>
            </w:hyperlink>
          </w:p>
        </w:tc>
      </w:tr>
      <w:tr w:rsidR="0073420B" w14:paraId="4153E5D6" w14:textId="77777777" w:rsidTr="00A506D2">
        <w:tc>
          <w:tcPr>
            <w:tcW w:w="352" w:type="pct"/>
          </w:tcPr>
          <w:p w14:paraId="1BC31E19"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7666C57"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F57157B"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14:paraId="6ADFDB49" w14:textId="77777777"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14:paraId="28EC63ED" w14:textId="77777777"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14:paraId="0FC23DDD" w14:textId="77777777"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14:paraId="29CBF4B2" w14:textId="77777777"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14:paraId="107706FE" w14:textId="77777777" w:rsidR="0073420B" w:rsidRDefault="00A2741E" w:rsidP="000E1A81">
            <w:hyperlink r:id="rId79" w:history="1">
              <w:r w:rsidR="00D65071">
                <w:rPr>
                  <w:rStyle w:val="Hipercze"/>
                </w:rPr>
                <w:t>Obwieszczenie (mz.gov.pl)</w:t>
              </w:r>
            </w:hyperlink>
          </w:p>
        </w:tc>
      </w:tr>
      <w:tr w:rsidR="0073420B" w14:paraId="1EB0DB62" w14:textId="77777777" w:rsidTr="00A506D2">
        <w:tc>
          <w:tcPr>
            <w:tcW w:w="352" w:type="pct"/>
          </w:tcPr>
          <w:p w14:paraId="4AA518FC"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ABC5802"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689241C"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sprawie powołania Zespołu do spraw </w:t>
            </w:r>
            <w:r w:rsidRPr="0073420B">
              <w:rPr>
                <w:rFonts w:ascii="Times New Roman" w:hAnsi="Times New Roman" w:cs="Times New Roman"/>
                <w:b w:val="0"/>
                <w:color w:val="auto"/>
                <w:sz w:val="20"/>
                <w:szCs w:val="20"/>
                <w:shd w:val="clear" w:color="auto" w:fill="FFFFFF"/>
              </w:rPr>
              <w:lastRenderedPageBreak/>
              <w:t>koordynacji sieci laboratoriów COVID</w:t>
            </w:r>
          </w:p>
        </w:tc>
        <w:tc>
          <w:tcPr>
            <w:tcW w:w="2115" w:type="pct"/>
          </w:tcPr>
          <w:p w14:paraId="363B28C7" w14:textId="77777777"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14:paraId="169835A2"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684E4B6F" w14:textId="77777777" w:rsidR="0073420B" w:rsidRDefault="00A2741E" w:rsidP="000E1A81">
            <w:hyperlink r:id="rId80" w:history="1">
              <w:r w:rsidR="0073420B">
                <w:rPr>
                  <w:rStyle w:val="Hipercze"/>
                </w:rPr>
                <w:t>Zarządzenie z dnia 10 września 2021 r. (mz.gov.pl)</w:t>
              </w:r>
            </w:hyperlink>
          </w:p>
        </w:tc>
      </w:tr>
      <w:tr w:rsidR="0073420B" w14:paraId="400A2109" w14:textId="77777777" w:rsidTr="00A506D2">
        <w:tc>
          <w:tcPr>
            <w:tcW w:w="352" w:type="pct"/>
          </w:tcPr>
          <w:p w14:paraId="01DD1453"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9615FD7"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47A66A9D" w14:textId="77777777"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14:paraId="5654D9A8" w14:textId="77777777"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14:paraId="102EECF5"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14:paraId="73452E32" w14:textId="77777777" w:rsidR="0073420B" w:rsidRDefault="00A2741E" w:rsidP="000E1A81">
            <w:hyperlink r:id="rId81" w:history="1">
              <w:r w:rsidR="0073420B">
                <w:rPr>
                  <w:rStyle w:val="Hipercze"/>
                </w:rPr>
                <w:t>Obwieszczenie (mz.gov.pl)</w:t>
              </w:r>
            </w:hyperlink>
          </w:p>
        </w:tc>
      </w:tr>
      <w:tr w:rsidR="005F3CBD" w14:paraId="5ACF700D" w14:textId="77777777" w:rsidTr="00A506D2">
        <w:tc>
          <w:tcPr>
            <w:tcW w:w="352" w:type="pct"/>
          </w:tcPr>
          <w:p w14:paraId="5FA22D42"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BAF38C1"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C214703"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powołania Komitetu Sterującego do spraw </w:t>
            </w:r>
            <w:r w:rsidRPr="005F3CBD">
              <w:rPr>
                <w:rFonts w:ascii="Times New Roman" w:hAnsi="Times New Roman" w:cs="Times New Roman"/>
                <w:b w:val="0"/>
                <w:color w:val="auto"/>
                <w:sz w:val="20"/>
                <w:szCs w:val="20"/>
                <w:shd w:val="clear" w:color="auto" w:fill="FFFFFF"/>
              </w:rPr>
              <w:lastRenderedPageBreak/>
              <w:t>monitorowania programu pilotażowego opieki nad świadczeniobiorcą w ramach sieci onkologicznej</w:t>
            </w:r>
          </w:p>
        </w:tc>
        <w:tc>
          <w:tcPr>
            <w:tcW w:w="2115" w:type="pct"/>
          </w:tcPr>
          <w:p w14:paraId="63AE2484"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14:paraId="2ABBC168"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14:paraId="7FF78A5E"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14:paraId="56844550"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14:paraId="2B63EFFF"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14:paraId="33FACCA0"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14:paraId="3788D870"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„9. Przewodniczący Komitetu przedstawi ministrowi właściwemu do spraw zdrowia wyniki realizacji zadań, o których mowa w § 4 pkt 3-5, </w:t>
            </w:r>
            <w:r w:rsidRPr="005F3CBD">
              <w:rPr>
                <w:rFonts w:ascii="Times New Roman" w:eastAsia="Times New Roman" w:hAnsi="Times New Roman" w:cs="Times New Roman"/>
                <w:sz w:val="20"/>
                <w:szCs w:val="20"/>
                <w:lang w:eastAsia="pl-PL"/>
              </w:rPr>
              <w:lastRenderedPageBreak/>
              <w:t>nie później niż do dnia 31 marca 2022 r.”;</w:t>
            </w:r>
          </w:p>
          <w:p w14:paraId="17E41103"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14:paraId="236D6F24" w14:textId="77777777"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14:paraId="384D83C2" w14:textId="77777777"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14:paraId="10C46E7D" w14:textId="77777777" w:rsidR="005F3CBD" w:rsidRDefault="00A2741E" w:rsidP="000E1A81">
            <w:hyperlink r:id="rId82" w:history="1">
              <w:r w:rsidR="0073420B">
                <w:rPr>
                  <w:rStyle w:val="Hipercze"/>
                </w:rPr>
                <w:t>Zarządzenie z dnia 6 września 2021 r. (mz.gov.pl)</w:t>
              </w:r>
            </w:hyperlink>
          </w:p>
        </w:tc>
      </w:tr>
      <w:tr w:rsidR="005F3CBD" w14:paraId="49B52692" w14:textId="77777777" w:rsidTr="00A506D2">
        <w:tc>
          <w:tcPr>
            <w:tcW w:w="352" w:type="pct"/>
          </w:tcPr>
          <w:p w14:paraId="630A76DE"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37EFBD1"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98F3A3F"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14:paraId="66BA5B00" w14:textId="77777777"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14:paraId="16420038"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14:paraId="7D0F296D" w14:textId="77777777" w:rsidR="005F3CBD" w:rsidRDefault="00A2741E" w:rsidP="000E1A81">
            <w:hyperlink r:id="rId83" w:history="1">
              <w:r w:rsidR="005F3CBD">
                <w:rPr>
                  <w:rStyle w:val="Hipercze"/>
                </w:rPr>
                <w:t>akt.pdf (mz.gov.pl)</w:t>
              </w:r>
            </w:hyperlink>
          </w:p>
        </w:tc>
      </w:tr>
      <w:tr w:rsidR="005F3CBD" w14:paraId="6D151599" w14:textId="77777777" w:rsidTr="00A506D2">
        <w:tc>
          <w:tcPr>
            <w:tcW w:w="352" w:type="pct"/>
          </w:tcPr>
          <w:p w14:paraId="45957F23"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33B423A"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3685CBF"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14:paraId="35BAF5A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14:paraId="606E376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14:paraId="7F50EF7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14:paraId="5EFFA22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14:paraId="0FFC06F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14:paraId="52A2E01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14:paraId="4D7B56A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14:paraId="0FB71F8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14:paraId="7F414AF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14:paraId="06E6E10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14:paraId="6253424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14:paraId="2F225FE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14:paraId="54C51C8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14:paraId="28E3F5B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14:paraId="4C56D17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14:paraId="39AF77F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14:paraId="1B9AD4A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14:paraId="1DDC661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14) Oddział Kardiochirurgii, Transplantacji Serca i Płuc oraz Mechanicznego Wspomagania Krążenia;</w:t>
            </w:r>
          </w:p>
          <w:p w14:paraId="2B45DB1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14:paraId="31F2236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14:paraId="3144BC1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14:paraId="34EFEB5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14:paraId="7324123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14:paraId="49DAB45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14:paraId="664680F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14:paraId="39CD94F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14:paraId="1ED975E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14:paraId="178D813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14:paraId="2AA270A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14:paraId="34C8521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14:paraId="040228A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14:paraId="61DD6E0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14:paraId="06D2A53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14:paraId="5A19CC7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14:paraId="2AC5804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14:paraId="75D7844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14:paraId="67FA791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14:paraId="0F0598A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14:paraId="64BE9C0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14:paraId="7F73C1E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14:paraId="16E3B31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14:paraId="385919F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14:paraId="4D47136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14:paraId="3AC0CA2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14:paraId="11185C0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14:paraId="6E8EC61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14:paraId="76533D5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14:paraId="726642A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14:paraId="5817ABC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14:paraId="1F24CFA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14:paraId="623FDB0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14:paraId="46C2FB8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14:paraId="41375AC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46) Pracownia Informatyki;</w:t>
            </w:r>
          </w:p>
          <w:p w14:paraId="03A2791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14:paraId="0B0CE17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14:paraId="0832783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14:paraId="133A6B4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14:paraId="4331B34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14:paraId="64B828C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14:paraId="0802112D" w14:textId="77777777"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14:paraId="5259908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14:paraId="5109CF0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14:paraId="0058066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14:paraId="4BFB56FE"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14:paraId="04452E7D" w14:textId="77777777" w:rsidR="005F3CBD" w:rsidRDefault="00A2741E" w:rsidP="000E1A81">
            <w:hyperlink r:id="rId84" w:history="1">
              <w:r w:rsidR="005F3CBD">
                <w:rPr>
                  <w:rStyle w:val="Hipercze"/>
                </w:rPr>
                <w:t>Zarządzenie (mz.gov.pl)</w:t>
              </w:r>
            </w:hyperlink>
          </w:p>
        </w:tc>
      </w:tr>
      <w:tr w:rsidR="005A159B" w14:paraId="689674C1" w14:textId="77777777" w:rsidTr="00A506D2">
        <w:tc>
          <w:tcPr>
            <w:tcW w:w="352" w:type="pct"/>
          </w:tcPr>
          <w:p w14:paraId="5CEA8485"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14:paraId="2BEAB88F"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6B72269" w14:textId="77777777"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1AAFF58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14:paraId="6B6B1EA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14:paraId="0783A1A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14:paraId="5FDCFA9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14:paraId="3B86C09C" w14:textId="77777777"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14:paraId="3B97F245" w14:textId="77777777"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4F36137D" w14:textId="77777777" w:rsidR="005A159B" w:rsidRDefault="00A2741E" w:rsidP="000E1A81">
            <w:hyperlink r:id="rId85" w:history="1">
              <w:r w:rsidR="005F3CBD">
                <w:rPr>
                  <w:rStyle w:val="Hipercze"/>
                </w:rPr>
                <w:t>Zarządzenie z dnia 24 sierpnia 2021 r. (mz.gov.pl)</w:t>
              </w:r>
            </w:hyperlink>
          </w:p>
        </w:tc>
      </w:tr>
      <w:tr w:rsidR="007418A2" w14:paraId="2D569A83" w14:textId="77777777" w:rsidTr="00A506D2">
        <w:tc>
          <w:tcPr>
            <w:tcW w:w="352" w:type="pct"/>
          </w:tcPr>
          <w:p w14:paraId="6F0A01DA"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DF5FE0E"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2054A7" w14:textId="77777777"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r. zmieniające rozporządzenie w sprawie wykazu </w:t>
            </w:r>
            <w:r w:rsidRPr="007418A2">
              <w:rPr>
                <w:rFonts w:ascii="Times New Roman" w:hAnsi="Times New Roman" w:cs="Times New Roman"/>
                <w:b w:val="0"/>
                <w:color w:val="auto"/>
                <w:sz w:val="20"/>
                <w:szCs w:val="20"/>
                <w:shd w:val="clear" w:color="auto" w:fill="FFFFFF"/>
              </w:rPr>
              <w:lastRenderedPageBreak/>
              <w:t>wyrobów medycznych wydawanych na zlecenie</w:t>
            </w:r>
          </w:p>
        </w:tc>
        <w:tc>
          <w:tcPr>
            <w:tcW w:w="2115" w:type="pct"/>
          </w:tcPr>
          <w:p w14:paraId="205C3DFF" w14:textId="77777777"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14:paraId="0DC32360" w14:textId="77777777"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14:paraId="1230D525"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14:paraId="766DB9EA"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płaskodziany z krytym szwem (lp. 69) nogawica uciskowa płaskodziana z krytym szwem (lp. 70), sensor/elektroda do Systemu </w:t>
            </w:r>
            <w:r w:rsidRPr="003312C1">
              <w:rPr>
                <w:rFonts w:ascii="Times New Roman" w:eastAsia="Times New Roman" w:hAnsi="Times New Roman" w:cs="Times New Roman"/>
                <w:sz w:val="20"/>
                <w:szCs w:val="20"/>
                <w:lang w:eastAsia="pl-PL"/>
              </w:rPr>
              <w:lastRenderedPageBreak/>
              <w:t>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14:paraId="6A823F2A"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14:paraId="21BE2386"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14:paraId="1665896C"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14:paraId="5055C17C"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14:paraId="04EC964E"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14:paraId="034EE32A"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14:paraId="046D77E9" w14:textId="77777777"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14:paraId="769DDB38" w14:textId="77777777"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14:paraId="20EFDF4F" w14:textId="77777777" w:rsidR="007418A2" w:rsidRDefault="00A2741E" w:rsidP="000E1A81">
            <w:hyperlink r:id="rId86" w:history="1">
              <w:r w:rsidR="007418A2">
                <w:rPr>
                  <w:rStyle w:val="Hipercze"/>
                </w:rPr>
                <w:t>Rozporządzenie Ministra Zdrowia z dnia 27 sierpnia 2021 r. zmieniające rozporządzenie w sprawie wykazu wyrobów medycznych wydawanych na zlecenie (dziennikustaw.gov.pl)</w:t>
              </w:r>
            </w:hyperlink>
          </w:p>
        </w:tc>
      </w:tr>
      <w:tr w:rsidR="00A92460" w14:paraId="16CBE86E" w14:textId="77777777" w:rsidTr="00A506D2">
        <w:tc>
          <w:tcPr>
            <w:tcW w:w="352" w:type="pct"/>
          </w:tcPr>
          <w:p w14:paraId="6E7271FF"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378C3EBF"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A4FE9A6" w14:textId="77777777"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rozporządzenie w sprawie metody zapobiegania </w:t>
            </w:r>
            <w:r w:rsidRPr="007418A2">
              <w:rPr>
                <w:rFonts w:ascii="Times New Roman" w:hAnsi="Times New Roman" w:cs="Times New Roman"/>
                <w:b w:val="0"/>
                <w:color w:val="auto"/>
                <w:sz w:val="20"/>
                <w:szCs w:val="20"/>
                <w:shd w:val="clear" w:color="auto" w:fill="FFFFFF"/>
              </w:rPr>
              <w:lastRenderedPageBreak/>
              <w:t>grypie sezonowej w sezonie</w:t>
            </w:r>
          </w:p>
          <w:p w14:paraId="06C34AFE" w14:textId="77777777"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14:paraId="0D20A2E8" w14:textId="77777777"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w:t>
            </w:r>
            <w:r w:rsidRPr="00635971">
              <w:rPr>
                <w:rFonts w:ascii="Times New Roman" w:eastAsia="Times New Roman" w:hAnsi="Times New Roman" w:cs="Times New Roman"/>
                <w:sz w:val="20"/>
                <w:szCs w:val="20"/>
                <w:lang w:eastAsia="pl-PL"/>
              </w:rPr>
              <w:lastRenderedPageBreak/>
              <w:t>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14:paraId="38164D56" w14:textId="77777777"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14:paraId="4AA1B8C7" w14:textId="77777777"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14:paraId="393A90A5" w14:textId="77777777" w:rsidR="00A92460" w:rsidRDefault="00A2741E" w:rsidP="000E1A81">
            <w:hyperlink r:id="rId87"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14:paraId="0399EC76" w14:textId="77777777" w:rsidTr="00A506D2">
        <w:tc>
          <w:tcPr>
            <w:tcW w:w="352" w:type="pct"/>
          </w:tcPr>
          <w:p w14:paraId="27A07950"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25AB220"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C705B13" w14:textId="77777777"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14:paraId="7D62E5DA"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14:paraId="5618E96F"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14:paraId="14C0304D"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w:t>
            </w:r>
            <w:r w:rsidRPr="00011548">
              <w:rPr>
                <w:rFonts w:ascii="Times New Roman" w:eastAsia="Times New Roman" w:hAnsi="Times New Roman" w:cs="Times New Roman"/>
                <w:sz w:val="20"/>
                <w:szCs w:val="20"/>
                <w:lang w:eastAsia="pl-PL"/>
              </w:rPr>
              <w:lastRenderedPageBreak/>
              <w:t>uczelni nadzorowanych przez ministra właściwego do spraw zdrowia oraz prowadzenie kształcenia w uczelniach medycznych w okresie epidemii wirusa SARS CoV 2.</w:t>
            </w:r>
          </w:p>
          <w:p w14:paraId="2C09BFCF"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14:paraId="0D1026C5"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14:paraId="3FABFA61"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14:paraId="43B13886" w14:textId="77777777"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14:paraId="00D24BFE"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14:paraId="1EBA048D"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14:paraId="614D4E51" w14:textId="77777777"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14:paraId="6DC26E80" w14:textId="77777777"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14:paraId="57160A67" w14:textId="77777777" w:rsidR="00911846" w:rsidRDefault="00A2741E" w:rsidP="000E1A81">
            <w:hyperlink r:id="rId88"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14:paraId="4FD1E96F" w14:textId="77777777" w:rsidTr="00A506D2">
        <w:tc>
          <w:tcPr>
            <w:tcW w:w="352" w:type="pct"/>
          </w:tcPr>
          <w:p w14:paraId="43111294"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14:paraId="01029BF3"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C256722" w14:textId="77777777"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14:paraId="21F2637D" w14:textId="77777777"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6ADF7312"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194E7061"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14:paraId="7139F002"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14:paraId="56B9747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14:paraId="23B5B6E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0D365BD7"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796E091D"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0D609EB7"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w:t>
            </w:r>
            <w:r w:rsidRPr="00B77D39">
              <w:rPr>
                <w:rFonts w:ascii="Times New Roman" w:eastAsia="Times New Roman" w:hAnsi="Times New Roman" w:cs="Times New Roman"/>
                <w:sz w:val="20"/>
                <w:szCs w:val="20"/>
                <w:lang w:eastAsia="pl-PL"/>
              </w:rPr>
              <w:lastRenderedPageBreak/>
              <w:t>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4EB58BA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25BB4FD9"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14:paraId="1DF30AEE"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0FF710CC"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14:paraId="144C2EC4"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14:paraId="49AAC1B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36D638E9" w14:textId="77777777"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w:t>
            </w:r>
            <w:r w:rsidRPr="00B77D39">
              <w:rPr>
                <w:rFonts w:ascii="Times New Roman" w:eastAsia="Times New Roman" w:hAnsi="Times New Roman" w:cs="Times New Roman"/>
                <w:sz w:val="20"/>
                <w:szCs w:val="20"/>
                <w:lang w:eastAsia="pl-PL"/>
              </w:rPr>
              <w:lastRenderedPageBreak/>
              <w:t>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53521BA9" w14:textId="77777777"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14:paraId="0FFBF425" w14:textId="77777777" w:rsidR="00535A7D" w:rsidRPr="00535A7D" w:rsidRDefault="00A2741E" w:rsidP="000E1A81">
            <w:hyperlink r:id="rId89" w:history="1">
              <w:r w:rsidR="00911846">
                <w:rPr>
                  <w:rStyle w:val="Hipercze"/>
                </w:rPr>
                <w:t>Rozporządzenie Ministra Zdrowia z dnia 27 sierpnia 2021 r. w sprawie metody zapobiegania grypie sezonowej w sezonie 2021/2022 (dziennikustaw.gov.pl)</w:t>
              </w:r>
            </w:hyperlink>
          </w:p>
        </w:tc>
      </w:tr>
      <w:tr w:rsidR="0045122D" w14:paraId="76459E6D" w14:textId="77777777" w:rsidTr="00A506D2">
        <w:tc>
          <w:tcPr>
            <w:tcW w:w="352" w:type="pct"/>
          </w:tcPr>
          <w:p w14:paraId="42F537CB"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14:paraId="546A32DF"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92E83D6" w14:textId="77777777"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14:paraId="58844EA8"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14:paraId="66CA596C"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14:paraId="7BD56EA1"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14:paraId="460213FE"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14:paraId="58C5DAB4"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14:paraId="396406A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14:paraId="4D6017A6"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14:paraId="7A78131E"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14:paraId="6B82619A"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14:paraId="03E74CF5" w14:textId="77777777"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w:t>
            </w:r>
            <w:r w:rsidRPr="00CC3A44">
              <w:rPr>
                <w:rFonts w:ascii="Times New Roman" w:eastAsia="Times New Roman" w:hAnsi="Times New Roman" w:cs="Times New Roman"/>
                <w:b/>
                <w:sz w:val="20"/>
                <w:szCs w:val="20"/>
                <w:lang w:eastAsia="pl-PL"/>
              </w:rPr>
              <w:lastRenderedPageBreak/>
              <w:t xml:space="preserve">publicznych. </w:t>
            </w:r>
          </w:p>
          <w:p w14:paraId="5B7FF7C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14:paraId="575207B4"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14:paraId="00FE5FE2"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14:paraId="39B10C43"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14:paraId="583031C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14:paraId="4BF31AAD" w14:textId="77777777"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14:paraId="48534832" w14:textId="77777777"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14:paraId="3E058ED7" w14:textId="77777777" w:rsidR="0045122D" w:rsidRDefault="00535A7D" w:rsidP="000E1A81">
            <w:r w:rsidRPr="00535A7D">
              <w:t>https://dziennikustaw.gov.pl/D2021000155901.pdf</w:t>
            </w:r>
          </w:p>
        </w:tc>
      </w:tr>
      <w:tr w:rsidR="0045122D" w14:paraId="3AA93E4D" w14:textId="77777777" w:rsidTr="00A506D2">
        <w:tc>
          <w:tcPr>
            <w:tcW w:w="352" w:type="pct"/>
          </w:tcPr>
          <w:p w14:paraId="67DBB102"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14:paraId="72228BD7"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25BA972" w14:textId="77777777"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14:paraId="01805B73" w14:textId="77777777"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14:paraId="344106DF" w14:textId="77777777"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3DB1666A" w14:textId="77777777"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14:paraId="59B2C7D6" w14:textId="77777777" w:rsidR="0045122D" w:rsidRDefault="00A2741E" w:rsidP="000E1A81">
            <w:hyperlink r:id="rId90" w:anchor="12818482" w:history="1">
              <w:r w:rsidR="0045122D">
                <w:rPr>
                  <w:rStyle w:val="Hipercze"/>
                </w:rPr>
                <w:t>Projekt (legislacja.gov.pl)</w:t>
              </w:r>
            </w:hyperlink>
          </w:p>
        </w:tc>
      </w:tr>
      <w:tr w:rsidR="005C7BD2" w14:paraId="2B102C8F" w14:textId="77777777" w:rsidTr="00A506D2">
        <w:tc>
          <w:tcPr>
            <w:tcW w:w="352" w:type="pct"/>
          </w:tcPr>
          <w:p w14:paraId="09C7D67C" w14:textId="77777777" w:rsidR="005C7BD2" w:rsidRDefault="00D8542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27C039A" w14:textId="77777777" w:rsidR="005C7BD2" w:rsidRDefault="00D85424"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AA2F964" w14:textId="77777777" w:rsidR="005C7BD2" w:rsidRPr="005C7BD2" w:rsidRDefault="00D85424" w:rsidP="00B32B4D">
            <w:pPr>
              <w:pStyle w:val="Nagwek1"/>
              <w:outlineLvl w:val="0"/>
              <w:rPr>
                <w:rFonts w:ascii="Times New Roman" w:hAnsi="Times New Roman" w:cs="Times New Roman"/>
                <w:b w:val="0"/>
                <w:color w:val="auto"/>
                <w:sz w:val="20"/>
                <w:szCs w:val="20"/>
                <w:shd w:val="clear" w:color="auto" w:fill="FFFFFF"/>
              </w:rPr>
            </w:pPr>
            <w:r w:rsidRPr="00D85424">
              <w:rPr>
                <w:rFonts w:ascii="Times New Roman" w:hAnsi="Times New Roman" w:cs="Times New Roman"/>
                <w:b w:val="0"/>
                <w:color w:val="auto"/>
                <w:sz w:val="20"/>
                <w:szCs w:val="20"/>
                <w:shd w:val="clear" w:color="auto" w:fill="FFFFFF"/>
              </w:rPr>
              <w:t xml:space="preserve">Projekt rozporządzenia Ministra Zdrowia w sprawie zmiany rozporządzenia </w:t>
            </w:r>
            <w:r w:rsidRPr="00D85424">
              <w:rPr>
                <w:rFonts w:ascii="Times New Roman" w:hAnsi="Times New Roman" w:cs="Times New Roman"/>
                <w:b w:val="0"/>
                <w:color w:val="auto"/>
                <w:sz w:val="20"/>
                <w:szCs w:val="20"/>
                <w:shd w:val="clear" w:color="auto" w:fill="FFFFFF"/>
              </w:rPr>
              <w:lastRenderedPageBreak/>
              <w:t>zmieniającego rozporządzenie w sprawie ogólnych warunków umów o udzielanie świadczeń opieki zdrowotnej</w:t>
            </w:r>
          </w:p>
        </w:tc>
        <w:tc>
          <w:tcPr>
            <w:tcW w:w="2115" w:type="pct"/>
          </w:tcPr>
          <w:p w14:paraId="59467859" w14:textId="77777777"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w:t>
            </w:r>
            <w:r w:rsidRPr="00D85424">
              <w:rPr>
                <w:rFonts w:ascii="Times New Roman" w:eastAsia="Times New Roman" w:hAnsi="Times New Roman" w:cs="Times New Roman"/>
                <w:sz w:val="20"/>
                <w:szCs w:val="20"/>
                <w:lang w:eastAsia="pl-PL"/>
              </w:rPr>
              <w:lastRenderedPageBreak/>
              <w:t xml:space="preserve">ogólnych warunków umów o udzielanie świadczeń opieki zdrowotnej (Dz. U. poz. 1548, z późn. zm.). </w:t>
            </w:r>
          </w:p>
          <w:p w14:paraId="7F83D475" w14:textId="77777777" w:rsid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7F7A7C71" w14:textId="77777777"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p>
          <w:p w14:paraId="190509A4" w14:textId="77777777" w:rsidR="00D85424" w:rsidRPr="00D85424" w:rsidRDefault="00D85424" w:rsidP="00D854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714FA587" w14:textId="77777777" w:rsidR="00D85424" w:rsidRP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178E1ACA" w14:textId="77777777" w:rsidR="005C7BD2" w:rsidRDefault="00D8542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4 października 2021 r. (</w:t>
            </w:r>
            <w:hyperlink r:id="rId91" w:history="1">
              <w:r w:rsidRPr="005D3C52">
                <w:rPr>
                  <w:rStyle w:val="Hipercze"/>
                </w:rPr>
                <w:t>k.makowiecka@mz.gov.pl</w:t>
              </w:r>
            </w:hyperlink>
            <w:r>
              <w:t xml:space="preserve">) </w:t>
            </w:r>
          </w:p>
        </w:tc>
        <w:tc>
          <w:tcPr>
            <w:tcW w:w="1174" w:type="pct"/>
          </w:tcPr>
          <w:p w14:paraId="41A67CD7" w14:textId="77777777" w:rsidR="005C7BD2" w:rsidRDefault="00A2741E" w:rsidP="000E1A81">
            <w:hyperlink r:id="rId92" w:history="1">
              <w:r w:rsidR="00D85424">
                <w:rPr>
                  <w:rStyle w:val="Hipercze"/>
                </w:rPr>
                <w:t>Akt prawny (legislacja.gov.pl)</w:t>
              </w:r>
            </w:hyperlink>
            <w:r w:rsidR="00D85424">
              <w:t xml:space="preserve"> </w:t>
            </w:r>
          </w:p>
        </w:tc>
      </w:tr>
      <w:tr w:rsidR="008F04BF" w14:paraId="6256D432" w14:textId="77777777" w:rsidTr="00A506D2">
        <w:tc>
          <w:tcPr>
            <w:tcW w:w="352" w:type="pct"/>
          </w:tcPr>
          <w:p w14:paraId="268A255F"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CC86290"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79F8DE" w14:textId="77777777"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5C7BD2">
              <w:rPr>
                <w:rFonts w:ascii="Times New Roman" w:hAnsi="Times New Roman" w:cs="Times New Roman"/>
                <w:b w:val="0"/>
                <w:color w:val="auto"/>
                <w:sz w:val="20"/>
                <w:szCs w:val="20"/>
                <w:shd w:val="clear" w:color="auto" w:fill="FFFFFF"/>
              </w:rPr>
              <w:lastRenderedPageBreak/>
              <w:t>specjalizacji w dziedzinach mających zastosowanie w ochronie zdrowia</w:t>
            </w:r>
          </w:p>
        </w:tc>
        <w:tc>
          <w:tcPr>
            <w:tcW w:w="2115" w:type="pct"/>
          </w:tcPr>
          <w:p w14:paraId="384D2C39" w14:textId="77777777"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14:paraId="03A65CCE" w14:textId="77777777"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w:t>
            </w:r>
            <w:r w:rsidRPr="005C7BD2">
              <w:rPr>
                <w:rFonts w:ascii="Times New Roman" w:eastAsia="Times New Roman" w:hAnsi="Times New Roman" w:cs="Times New Roman"/>
                <w:sz w:val="20"/>
                <w:szCs w:val="20"/>
                <w:lang w:eastAsia="pl-PL"/>
              </w:rPr>
              <w:lastRenderedPageBreak/>
              <w:t>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14:paraId="2042F300" w14:textId="77777777"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14:paraId="43710843" w14:textId="77777777" w:rsidR="008F04BF" w:rsidRDefault="00A2741E" w:rsidP="000E1A81">
            <w:hyperlink r:id="rId93" w:history="1">
              <w:r w:rsidR="005C7BD2">
                <w:rPr>
                  <w:rStyle w:val="Hipercze"/>
                </w:rPr>
                <w:t>Akt prawny (legislacja.gov.pl)</w:t>
              </w:r>
            </w:hyperlink>
          </w:p>
        </w:tc>
      </w:tr>
      <w:tr w:rsidR="008F04BF" w14:paraId="0E9F9587" w14:textId="77777777" w:rsidTr="00A506D2">
        <w:tc>
          <w:tcPr>
            <w:tcW w:w="352" w:type="pct"/>
          </w:tcPr>
          <w:p w14:paraId="3817648C"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479154A"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432AE31" w14:textId="77777777"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14:paraId="075186D0"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14:paraId="5DAD9A73" w14:textId="77777777" w:rsidR="008F04BF" w:rsidRPr="008F04BF" w:rsidRDefault="008F04BF" w:rsidP="008F04BF">
            <w:pPr>
              <w:rPr>
                <w:rFonts w:ascii="Times New Roman" w:eastAsia="Times New Roman" w:hAnsi="Times New Roman" w:cs="Times New Roman"/>
                <w:sz w:val="20"/>
                <w:szCs w:val="20"/>
                <w:lang w:eastAsia="pl-PL"/>
              </w:rPr>
            </w:pPr>
          </w:p>
          <w:p w14:paraId="680B1327"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14:paraId="0BEAB628"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 xml:space="preserve">Na mocy ww. ustawy, Agencja w przypadku otrzymania od ministra właściwego do </w:t>
            </w:r>
            <w:r w:rsidRPr="008F04BF">
              <w:rPr>
                <w:rFonts w:ascii="Times New Roman" w:eastAsia="Times New Roman" w:hAnsi="Times New Roman" w:cs="Times New Roman"/>
                <w:sz w:val="20"/>
                <w:szCs w:val="20"/>
                <w:lang w:eastAsia="pl-PL"/>
              </w:rPr>
              <w:lastRenderedPageBreak/>
              <w:t>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14:paraId="465AE117" w14:textId="77777777"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14:paraId="277A10EA"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14:paraId="10E7A785" w14:textId="77777777"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14:paraId="221249DF" w14:textId="77777777"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14:paraId="32A8BE76" w14:textId="77777777" w:rsidR="008F04BF" w:rsidRPr="008F04BF" w:rsidRDefault="00A2741E" w:rsidP="000E1A81">
            <w:pPr>
              <w:rPr>
                <w:b/>
              </w:rPr>
            </w:pPr>
            <w:hyperlink r:id="rId94" w:history="1">
              <w:r w:rsidR="008F04BF">
                <w:rPr>
                  <w:rStyle w:val="Hipercze"/>
                </w:rPr>
                <w:t>Akt prawny (legislacja.gov.pl)</w:t>
              </w:r>
            </w:hyperlink>
          </w:p>
        </w:tc>
      </w:tr>
      <w:tr w:rsidR="00DA5215" w14:paraId="55D61A40" w14:textId="77777777" w:rsidTr="00A506D2">
        <w:tc>
          <w:tcPr>
            <w:tcW w:w="352" w:type="pct"/>
          </w:tcPr>
          <w:p w14:paraId="1B381BA9"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289DE09"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E17EF97" w14:textId="77777777"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wykazu przejść granicznych </w:t>
            </w:r>
            <w:r w:rsidRPr="00DA5215">
              <w:rPr>
                <w:rFonts w:ascii="Times New Roman" w:hAnsi="Times New Roman" w:cs="Times New Roman"/>
                <w:b w:val="0"/>
                <w:color w:val="auto"/>
                <w:sz w:val="20"/>
                <w:szCs w:val="20"/>
                <w:shd w:val="clear" w:color="auto" w:fill="FFFFFF"/>
              </w:rPr>
              <w:lastRenderedPageBreak/>
              <w:t>właściwych dla przeprowadzania granicznej kontroli sanitarnej</w:t>
            </w:r>
          </w:p>
        </w:tc>
        <w:tc>
          <w:tcPr>
            <w:tcW w:w="2115" w:type="pct"/>
          </w:tcPr>
          <w:p w14:paraId="474F320C"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14:paraId="443FC70F"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w:t>
            </w:r>
            <w:r w:rsidRPr="00DA5215">
              <w:rPr>
                <w:rFonts w:ascii="Times New Roman" w:eastAsia="Times New Roman" w:hAnsi="Times New Roman" w:cs="Times New Roman"/>
                <w:sz w:val="20"/>
                <w:szCs w:val="20"/>
                <w:lang w:eastAsia="pl-PL"/>
              </w:rPr>
              <w:lastRenderedPageBreak/>
              <w:t>żywnością, podlegające granicznej kontroli sanitarnej, mogą być wprowadzane na terytorium Unii Europejskiej.</w:t>
            </w:r>
          </w:p>
          <w:p w14:paraId="5DC455FA"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14:paraId="50233541" w14:textId="77777777"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14:paraId="71BEEBDB" w14:textId="77777777"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14:paraId="446B2A51" w14:textId="77777777"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14:paraId="5E4345B5" w14:textId="77777777" w:rsidR="00DA5215" w:rsidRDefault="00A2741E" w:rsidP="000E1A81">
            <w:hyperlink r:id="rId95" w:history="1">
              <w:r w:rsidR="00671021">
                <w:rPr>
                  <w:rStyle w:val="Hipercze"/>
                </w:rPr>
                <w:t>Akt prawny (legislacja.gov.pl)</w:t>
              </w:r>
            </w:hyperlink>
          </w:p>
        </w:tc>
      </w:tr>
      <w:tr w:rsidR="00753579" w14:paraId="3FB036A9" w14:textId="77777777" w:rsidTr="00A506D2">
        <w:tc>
          <w:tcPr>
            <w:tcW w:w="352" w:type="pct"/>
          </w:tcPr>
          <w:p w14:paraId="11B9FFDD"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799895E"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837AAF2" w14:textId="77777777"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14:paraId="1AA5F0EA" w14:textId="77777777" w:rsidR="00DC5468" w:rsidRPr="00DC5468" w:rsidRDefault="00DC5468" w:rsidP="00DC5468">
            <w:r>
              <w:t>(druk 1569)</w:t>
            </w:r>
          </w:p>
        </w:tc>
        <w:tc>
          <w:tcPr>
            <w:tcW w:w="2115" w:type="pct"/>
          </w:tcPr>
          <w:p w14:paraId="6B18032B" w14:textId="77777777"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14:paraId="133E7160" w14:textId="77777777" w:rsidR="00DC5468" w:rsidRDefault="00DC5468" w:rsidP="00DC5468">
            <w:pPr>
              <w:rPr>
                <w:rFonts w:ascii="Times New Roman" w:eastAsia="Times New Roman" w:hAnsi="Times New Roman" w:cs="Times New Roman"/>
                <w:sz w:val="20"/>
                <w:szCs w:val="20"/>
                <w:lang w:eastAsia="pl-PL"/>
              </w:rPr>
            </w:pPr>
          </w:p>
          <w:p w14:paraId="5D9020F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w:t>
            </w:r>
            <w:r w:rsidRPr="00DC5468">
              <w:rPr>
                <w:rFonts w:ascii="Times New Roman" w:eastAsia="Times New Roman" w:hAnsi="Times New Roman" w:cs="Times New Roman"/>
                <w:sz w:val="20"/>
                <w:szCs w:val="20"/>
                <w:lang w:eastAsia="pl-PL"/>
              </w:rPr>
              <w:lastRenderedPageBreak/>
              <w:t>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14:paraId="7D4D098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14:paraId="0F72840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w:t>
            </w:r>
            <w:r w:rsidRPr="00DC5468">
              <w:rPr>
                <w:rFonts w:ascii="Times New Roman" w:eastAsia="Times New Roman" w:hAnsi="Times New Roman" w:cs="Times New Roman"/>
                <w:sz w:val="20"/>
                <w:szCs w:val="20"/>
                <w:lang w:eastAsia="pl-PL"/>
              </w:rPr>
              <w:lastRenderedPageBreak/>
              <w:t>odpowiedzi: „zdecydowanie nie”, „raczej nie”, „raczej tak” oraz „zdecydowanie tak.” Ponadto respondenci byli pytani o przyczyny oraz bariery związane z emigracją.</w:t>
            </w:r>
          </w:p>
          <w:p w14:paraId="374035F2"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14:paraId="3562553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14:paraId="186CD43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14:paraId="2215E74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14:paraId="3D57139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14:paraId="5098796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14:paraId="0476389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14:paraId="4664C57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14:paraId="22F8B90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w:t>
            </w:r>
            <w:r w:rsidRPr="00DC5468">
              <w:rPr>
                <w:rFonts w:ascii="Times New Roman" w:eastAsia="Times New Roman" w:hAnsi="Times New Roman" w:cs="Times New Roman"/>
                <w:sz w:val="20"/>
                <w:szCs w:val="20"/>
                <w:lang w:eastAsia="pl-PL"/>
              </w:rPr>
              <w:lastRenderedPageBreak/>
              <w:t xml:space="preserve">(53,5%) oraz stresujące warunki w aktualnej pracy (51,6%); </w:t>
            </w:r>
          </w:p>
          <w:p w14:paraId="3ADE337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14:paraId="7969C08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14:paraId="690C3337"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w:t>
            </w:r>
            <w:r w:rsidRPr="00DC5468">
              <w:rPr>
                <w:rFonts w:ascii="Times New Roman" w:eastAsia="Times New Roman" w:hAnsi="Times New Roman" w:cs="Times New Roman"/>
                <w:sz w:val="20"/>
                <w:szCs w:val="20"/>
                <w:lang w:eastAsia="pl-PL"/>
              </w:rPr>
              <w:lastRenderedPageBreak/>
              <w:t xml:space="preserve">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14:paraId="1415B11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14:paraId="1F38106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14:paraId="44DA3714" w14:textId="77777777"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w:t>
            </w:r>
            <w:r w:rsidRPr="00DC5468">
              <w:rPr>
                <w:rFonts w:ascii="Times New Roman" w:eastAsia="Times New Roman" w:hAnsi="Times New Roman" w:cs="Times New Roman"/>
                <w:sz w:val="20"/>
                <w:szCs w:val="20"/>
                <w:lang w:eastAsia="pl-PL"/>
              </w:rPr>
              <w:lastRenderedPageBreak/>
              <w:t>negatywnym skutkom ewentualnego wystąpienia ujemnej stopy redyskontowej. Większe zainteresowanie instytucji kredytujących tym produktem oraz jego lepsza promocja w placówkach banków wpłynie pozytywnie na dostępność kredytu studenckiego.</w:t>
            </w:r>
          </w:p>
          <w:p w14:paraId="027FD72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14:paraId="7D6EBC2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w:t>
            </w:r>
            <w:r w:rsidRPr="00DC5468">
              <w:rPr>
                <w:rFonts w:ascii="Times New Roman" w:eastAsia="Times New Roman" w:hAnsi="Times New Roman" w:cs="Times New Roman"/>
                <w:sz w:val="20"/>
                <w:szCs w:val="20"/>
                <w:lang w:eastAsia="pl-PL"/>
              </w:rPr>
              <w:lastRenderedPageBreak/>
              <w:t>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14:paraId="1C35FA9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14:paraId="5DDB678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14:paraId="451F2C0A"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w:t>
            </w:r>
            <w:r w:rsidRPr="00DC5468">
              <w:rPr>
                <w:rFonts w:ascii="Times New Roman" w:eastAsia="Times New Roman" w:hAnsi="Times New Roman" w:cs="Times New Roman"/>
                <w:sz w:val="20"/>
                <w:szCs w:val="20"/>
                <w:lang w:eastAsia="pl-PL"/>
              </w:rPr>
              <w:lastRenderedPageBreak/>
              <w:t xml:space="preserve">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14:paraId="57E9437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14:paraId="2ACEF3A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14:paraId="6066B81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14:paraId="5FB23E4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14:paraId="540CDCEC"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14:paraId="0C84387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w:t>
            </w:r>
            <w:r w:rsidRPr="00DC5468">
              <w:rPr>
                <w:rFonts w:ascii="Times New Roman" w:eastAsia="Times New Roman" w:hAnsi="Times New Roman" w:cs="Times New Roman"/>
                <w:sz w:val="20"/>
                <w:szCs w:val="20"/>
                <w:lang w:eastAsia="pl-PL"/>
              </w:rPr>
              <w:lastRenderedPageBreak/>
              <w:t xml:space="preserve">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14:paraId="47778BFE" w14:textId="77777777"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14:paraId="504269C9" w14:textId="77777777"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14:paraId="1EE12E0C" w14:textId="77777777" w:rsidR="00753579" w:rsidRDefault="00A2741E" w:rsidP="000E1A81">
            <w:hyperlink r:id="rId96" w:history="1">
              <w:r w:rsidR="00DC5468">
                <w:rPr>
                  <w:rStyle w:val="Hipercze"/>
                </w:rPr>
                <w:t>1569.pdf (sejm.gov.pl)</w:t>
              </w:r>
            </w:hyperlink>
            <w:r w:rsidR="00DC5468">
              <w:t xml:space="preserve"> </w:t>
            </w:r>
          </w:p>
        </w:tc>
      </w:tr>
      <w:tr w:rsidR="009D4860" w14:paraId="425FBC4C" w14:textId="77777777" w:rsidTr="00A506D2">
        <w:tc>
          <w:tcPr>
            <w:tcW w:w="352" w:type="pct"/>
          </w:tcPr>
          <w:p w14:paraId="662DC2FD"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14:paraId="049E5CB3"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14:paraId="4A56EB03" w14:textId="77777777"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14:paraId="03829D79"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14:paraId="44DFD418"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Projektowane rozporządzenie realizuje upoważnienie ustawowe </w:t>
            </w:r>
            <w:r w:rsidRPr="009D4860">
              <w:rPr>
                <w:rFonts w:ascii="Times New Roman" w:eastAsia="Times New Roman" w:hAnsi="Times New Roman" w:cs="Times New Roman"/>
                <w:sz w:val="20"/>
                <w:szCs w:val="20"/>
                <w:lang w:eastAsia="pl-PL"/>
              </w:rPr>
              <w:lastRenderedPageBreak/>
              <w:t>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14:paraId="59D86BD7"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14:paraId="5EAE101D"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14:paraId="56AD0FC9"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14:paraId="48437766"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14:paraId="5F4854AD"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14:paraId="74E55BC4" w14:textId="77777777"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14:paraId="1DFE7620" w14:textId="77777777"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14:paraId="46067048" w14:textId="77777777"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97" w:history="1">
              <w:r w:rsidRPr="005D3C52">
                <w:rPr>
                  <w:rStyle w:val="Hipercze"/>
                </w:rPr>
                <w:t>m.cichowska@mz.gov.pl</w:t>
              </w:r>
            </w:hyperlink>
            <w:r>
              <w:t xml:space="preserve">) </w:t>
            </w:r>
          </w:p>
        </w:tc>
        <w:tc>
          <w:tcPr>
            <w:tcW w:w="1174" w:type="pct"/>
          </w:tcPr>
          <w:p w14:paraId="000E5F04" w14:textId="77777777" w:rsidR="009D4860" w:rsidRDefault="00A2741E" w:rsidP="000E1A81">
            <w:hyperlink r:id="rId98" w:history="1">
              <w:r w:rsidR="00E60205">
                <w:rPr>
                  <w:rStyle w:val="Hipercze"/>
                </w:rPr>
                <w:t>Akt prawny (legislacja.gov.pl)</w:t>
              </w:r>
            </w:hyperlink>
          </w:p>
        </w:tc>
      </w:tr>
      <w:tr w:rsidR="003244EF" w14:paraId="798F092A" w14:textId="77777777" w:rsidTr="00A506D2">
        <w:tc>
          <w:tcPr>
            <w:tcW w:w="352" w:type="pct"/>
          </w:tcPr>
          <w:p w14:paraId="6DC79104" w14:textId="77777777" w:rsidR="003244EF" w:rsidRDefault="003244EF"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1C133307" w14:textId="77777777"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7994EAA" w14:textId="77777777"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Zdrowia </w:t>
            </w:r>
            <w:r w:rsidRPr="003244EF">
              <w:rPr>
                <w:rFonts w:ascii="Times New Roman" w:hAnsi="Times New Roman" w:cs="Times New Roman"/>
                <w:b w:val="0"/>
                <w:color w:val="auto"/>
                <w:sz w:val="20"/>
                <w:szCs w:val="20"/>
                <w:shd w:val="clear" w:color="auto" w:fill="FFFFFF"/>
              </w:rPr>
              <w:lastRenderedPageBreak/>
              <w:t>zmieniającego rozporządzenie w sprawie Krajowego Ośrodka Zapobiegania Zachowaniom Dyssocjalnym</w:t>
            </w:r>
          </w:p>
        </w:tc>
        <w:tc>
          <w:tcPr>
            <w:tcW w:w="2115" w:type="pct"/>
          </w:tcPr>
          <w:p w14:paraId="3F6B8F4C" w14:textId="77777777"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w:t>
            </w:r>
            <w:r w:rsidRPr="003244EF">
              <w:rPr>
                <w:rFonts w:ascii="Times New Roman" w:eastAsia="Times New Roman" w:hAnsi="Times New Roman" w:cs="Times New Roman"/>
                <w:sz w:val="20"/>
                <w:szCs w:val="20"/>
                <w:lang w:eastAsia="pl-PL"/>
              </w:rPr>
              <w:lastRenderedPageBreak/>
              <w:t>zagrożenie życia, zdrowia lub wolności seksualnej innych osób.</w:t>
            </w:r>
          </w:p>
          <w:p w14:paraId="1C6531A6" w14:textId="77777777"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14:paraId="712E7B61" w14:textId="77777777"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września 2021 r. (</w:t>
            </w:r>
            <w:hyperlink r:id="rId99" w:history="1">
              <w:r w:rsidRPr="005D3C52">
                <w:rPr>
                  <w:rStyle w:val="Hipercze"/>
                </w:rPr>
                <w:t>dep-</w:t>
              </w:r>
              <w:r w:rsidRPr="005D3C52">
                <w:rPr>
                  <w:rStyle w:val="Hipercze"/>
                </w:rPr>
                <w:lastRenderedPageBreak/>
                <w:t>zp@mz.gov.pl</w:t>
              </w:r>
            </w:hyperlink>
            <w:r>
              <w:t xml:space="preserve">) </w:t>
            </w:r>
          </w:p>
        </w:tc>
        <w:tc>
          <w:tcPr>
            <w:tcW w:w="1174" w:type="pct"/>
          </w:tcPr>
          <w:p w14:paraId="1F401C6B" w14:textId="77777777" w:rsidR="003244EF" w:rsidRDefault="00A2741E" w:rsidP="000E1A81">
            <w:hyperlink r:id="rId100" w:history="1">
              <w:r w:rsidR="00B1137E">
                <w:rPr>
                  <w:rStyle w:val="Hipercze"/>
                </w:rPr>
                <w:t>Akt prawny (legislacja.gov.pl)</w:t>
              </w:r>
            </w:hyperlink>
          </w:p>
        </w:tc>
      </w:tr>
      <w:tr w:rsidR="004E13BD" w14:paraId="0939237D" w14:textId="77777777" w:rsidTr="00A506D2">
        <w:tc>
          <w:tcPr>
            <w:tcW w:w="352" w:type="pct"/>
          </w:tcPr>
          <w:p w14:paraId="7F5F775B"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0C72DBDE"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D69863A" w14:textId="77777777"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14:paraId="444F29D9"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14:paraId="2C054E50"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14:paraId="629A1CCA"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Substancje te wykazują działanie na ośrodkowy układ nerwowy, mogą stanowić potencjalne zagrożenie dla zdrowia i życia ludzi oraz powodować szkody społeczne, a zważywszy na brak powszechnej świadomości co do zagrożeń związanych </w:t>
            </w:r>
          </w:p>
          <w:p w14:paraId="4D4F6765" w14:textId="77777777"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14:paraId="7A3E6AC0"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14:paraId="47923884" w14:textId="77777777"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14:paraId="4F8F0807" w14:textId="77777777"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01" w:history="1">
              <w:r w:rsidRPr="005D3C52">
                <w:rPr>
                  <w:rStyle w:val="Hipercze"/>
                </w:rPr>
                <w:t>sekretariat.pr@gis.gov.pl</w:t>
              </w:r>
            </w:hyperlink>
            <w:r>
              <w:t xml:space="preserve">) </w:t>
            </w:r>
          </w:p>
        </w:tc>
        <w:tc>
          <w:tcPr>
            <w:tcW w:w="1174" w:type="pct"/>
          </w:tcPr>
          <w:p w14:paraId="3D33D9D9" w14:textId="77777777" w:rsidR="004E13BD" w:rsidRPr="004E13BD" w:rsidRDefault="00A2741E" w:rsidP="000E1A81">
            <w:hyperlink r:id="rId102" w:history="1">
              <w:r w:rsidR="00D720A8">
                <w:rPr>
                  <w:rStyle w:val="Hipercze"/>
                </w:rPr>
                <w:t>Akt prawny (legislacja.gov.pl)</w:t>
              </w:r>
            </w:hyperlink>
          </w:p>
        </w:tc>
      </w:tr>
      <w:tr w:rsidR="00B77D39" w14:paraId="71B42C0F" w14:textId="77777777" w:rsidTr="00A506D2">
        <w:tc>
          <w:tcPr>
            <w:tcW w:w="352" w:type="pct"/>
          </w:tcPr>
          <w:p w14:paraId="70133B17"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CCEC28A"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14:paraId="1309F23D" w14:textId="77777777"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lastRenderedPageBreak/>
              <w:t xml:space="preserve">Projekt </w:t>
            </w:r>
            <w:r w:rsidRPr="00B77D39">
              <w:rPr>
                <w:rFonts w:ascii="Times New Roman" w:hAnsi="Times New Roman" w:cs="Times New Roman"/>
                <w:b w:val="0"/>
                <w:color w:val="auto"/>
                <w:sz w:val="20"/>
                <w:szCs w:val="20"/>
                <w:shd w:val="clear" w:color="auto" w:fill="FFFFFF"/>
              </w:rPr>
              <w:lastRenderedPageBreak/>
              <w:t>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14:paraId="7F9EDA49" w14:textId="77777777"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xml:space="preserve">Celem projektowanego rozporządzenia jest rozszerzenie wykazu grzybów dopuszczonych do obrotu lub produkcji przetworów grzybowych oraz środków spożywczych zawierających grzyby, co </w:t>
            </w:r>
            <w:r w:rsidRPr="00B77D39">
              <w:rPr>
                <w:rFonts w:ascii="Times New Roman" w:eastAsia="Times New Roman" w:hAnsi="Times New Roman" w:cs="Times New Roman"/>
                <w:sz w:val="20"/>
                <w:szCs w:val="20"/>
                <w:lang w:eastAsia="pl-PL"/>
              </w:rPr>
              <w:lastRenderedPageBreak/>
              <w:t>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14:paraId="0C291158" w14:textId="77777777"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14:paraId="1E8B02F6" w14:textId="77777777"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 xml:space="preserve">3 września </w:t>
            </w:r>
            <w:r w:rsidR="00B32B4D">
              <w:rPr>
                <w:rFonts w:ascii="Times New Roman" w:hAnsi="Times New Roman" w:cs="Times New Roman"/>
                <w:sz w:val="20"/>
                <w:szCs w:val="20"/>
              </w:rPr>
              <w:lastRenderedPageBreak/>
              <w:t>2021 r. (</w:t>
            </w:r>
            <w:hyperlink r:id="rId103" w:history="1">
              <w:r w:rsidR="00B32B4D" w:rsidRPr="005D3C52">
                <w:rPr>
                  <w:rStyle w:val="Hipercze"/>
                </w:rPr>
                <w:t>sekretariat.pr@gis.gov.pl</w:t>
              </w:r>
            </w:hyperlink>
            <w:r w:rsidR="00B32B4D">
              <w:t xml:space="preserve">) </w:t>
            </w:r>
          </w:p>
        </w:tc>
        <w:tc>
          <w:tcPr>
            <w:tcW w:w="1174" w:type="pct"/>
          </w:tcPr>
          <w:p w14:paraId="55FD4E5D" w14:textId="77777777" w:rsidR="00B77D39" w:rsidRDefault="00A2741E" w:rsidP="000E1A81">
            <w:hyperlink r:id="rId104" w:history="1">
              <w:r w:rsidR="00B32B4D">
                <w:rPr>
                  <w:rStyle w:val="Hipercze"/>
                </w:rPr>
                <w:t>Akt prawny (legislacja.gov.pl)</w:t>
              </w:r>
            </w:hyperlink>
          </w:p>
        </w:tc>
      </w:tr>
      <w:tr w:rsidR="003312C1" w14:paraId="40C9B36A" w14:textId="77777777" w:rsidTr="00A506D2">
        <w:tc>
          <w:tcPr>
            <w:tcW w:w="352" w:type="pct"/>
          </w:tcPr>
          <w:p w14:paraId="280B3955"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51A32B59"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BC2DB62" w14:textId="77777777" w:rsidR="003312C1" w:rsidRPr="003312C1" w:rsidRDefault="003312C1" w:rsidP="003312C1">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w:t>
            </w:r>
            <w:r w:rsidRPr="003312C1">
              <w:rPr>
                <w:rFonts w:ascii="Times New Roman" w:hAnsi="Times New Roman" w:cs="Times New Roman"/>
                <w:b w:val="0"/>
                <w:color w:val="auto"/>
                <w:sz w:val="20"/>
                <w:szCs w:val="20"/>
                <w:shd w:val="clear" w:color="auto" w:fill="FFFFFF"/>
              </w:rPr>
              <w:lastRenderedPageBreak/>
              <w:t>Zdrowia w sprawie nadawania uprawnień inspektora ochrony radiologicznej sprawującego wewnętrzny nadzór nad przestrzeganiem wymagań ochrony radiologicznej w jednostkach ochrony zdrowia</w:t>
            </w:r>
          </w:p>
        </w:tc>
        <w:tc>
          <w:tcPr>
            <w:tcW w:w="2115" w:type="pct"/>
          </w:tcPr>
          <w:p w14:paraId="7D672793"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14:paraId="79661EAC"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5DB39874"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4DEC909A"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b) uruchamianiu lub stosowaniu aparatów rentgenowskich do celów rentgenodiagnostyki, radiologii zabiegowej, radioterapii powierzchniowej lub radioterapii schorzeń nienowotworowych poza medyczną pracownią rentgenowską;</w:t>
            </w:r>
          </w:p>
          <w:p w14:paraId="07744475"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1272EE2F"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5E2844F5" w14:textId="77777777" w:rsidR="003312C1"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49EA5A92"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p>
          <w:p w14:paraId="3EA17EA3"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548406C2"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68042E9E"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037D640E"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7C741BD6"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0D5CEE23" w14:textId="77777777" w:rsidR="00AF081F" w:rsidRPr="00AF081F"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41285EE6" w14:textId="77777777" w:rsidR="00AF081F" w:rsidRPr="003312C1" w:rsidRDefault="00AF081F" w:rsidP="00AF081F">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Oczekiwanym efektem będzie zapewnienie właściwego poziomu bezpieczeństwa pacjentów i pracowników w jednostkach ochrony zdrowia stosujących promieniowanie jonizujące w celach medycznych.</w:t>
            </w:r>
          </w:p>
        </w:tc>
        <w:tc>
          <w:tcPr>
            <w:tcW w:w="448" w:type="pct"/>
          </w:tcPr>
          <w:p w14:paraId="44CD8182" w14:textId="77777777" w:rsidR="003312C1" w:rsidRDefault="00AF081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 7 września 2021 r.</w:t>
            </w:r>
          </w:p>
        </w:tc>
        <w:tc>
          <w:tcPr>
            <w:tcW w:w="1174" w:type="pct"/>
          </w:tcPr>
          <w:p w14:paraId="1AEE3DE8" w14:textId="77777777" w:rsidR="003312C1" w:rsidRDefault="00A2741E" w:rsidP="000E1A81">
            <w:hyperlink r:id="rId105" w:history="1">
              <w:r w:rsidR="00AF081F">
                <w:rPr>
                  <w:rStyle w:val="Hipercze"/>
                </w:rPr>
                <w:t>Akt prawny (legislacja.gov.pl)</w:t>
              </w:r>
            </w:hyperlink>
          </w:p>
        </w:tc>
      </w:tr>
      <w:tr w:rsidR="003312C1" w14:paraId="150FF2F0" w14:textId="77777777" w:rsidTr="00A506D2">
        <w:tc>
          <w:tcPr>
            <w:tcW w:w="352" w:type="pct"/>
          </w:tcPr>
          <w:p w14:paraId="14F4C3F3"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14:paraId="0D0DFDF9"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CD4F1E0" w14:textId="77777777"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14:paraId="405015F6" w14:textId="77777777"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5B67544F"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261A41A7" w14:textId="77777777"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58556D2C"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604A1217" w14:textId="77777777"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06" w:history="1">
              <w:r w:rsidRPr="005D3C52">
                <w:rPr>
                  <w:rStyle w:val="Hipercze"/>
                </w:rPr>
                <w:t>dep-di@mz.gov.pl</w:t>
              </w:r>
            </w:hyperlink>
            <w:r>
              <w:t xml:space="preserve">) </w:t>
            </w:r>
          </w:p>
        </w:tc>
        <w:tc>
          <w:tcPr>
            <w:tcW w:w="1174" w:type="pct"/>
          </w:tcPr>
          <w:p w14:paraId="14A4E5C8" w14:textId="77777777" w:rsidR="003312C1" w:rsidRDefault="00A2741E" w:rsidP="000E1A81">
            <w:hyperlink r:id="rId107" w:history="1">
              <w:r w:rsidR="003312C1">
                <w:rPr>
                  <w:rStyle w:val="Hipercze"/>
                </w:rPr>
                <w:t>Akt prawny (legislacja.gov.pl)</w:t>
              </w:r>
            </w:hyperlink>
          </w:p>
        </w:tc>
      </w:tr>
      <w:tr w:rsidR="0077353D" w14:paraId="4004BDFA" w14:textId="77777777" w:rsidTr="00A506D2">
        <w:tc>
          <w:tcPr>
            <w:tcW w:w="352" w:type="pct"/>
          </w:tcPr>
          <w:p w14:paraId="1FE7AD64"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15F3A4C1"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044845" w14:textId="77777777"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14:paraId="225555D6" w14:textId="77777777"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14:paraId="3ECAB341" w14:textId="77777777"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14:paraId="014BAD84" w14:textId="77777777"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14:paraId="4F4C5FD1" w14:textId="77777777" w:rsidR="0077353D" w:rsidRDefault="00A2741E" w:rsidP="000E1A81">
            <w:hyperlink r:id="rId108" w:history="1">
              <w:r w:rsidR="00011548">
                <w:rPr>
                  <w:rStyle w:val="Hipercze"/>
                </w:rPr>
                <w:t>Akt prawny (legislacja.gov.pl)</w:t>
              </w:r>
            </w:hyperlink>
          </w:p>
        </w:tc>
      </w:tr>
      <w:tr w:rsidR="007F6D13" w14:paraId="555C608C" w14:textId="77777777" w:rsidTr="00A506D2">
        <w:tc>
          <w:tcPr>
            <w:tcW w:w="352" w:type="pct"/>
          </w:tcPr>
          <w:p w14:paraId="10F8F817"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14:paraId="3A523CC8"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FF2A7DC" w14:textId="77777777"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1B1E8FA5" w14:textId="77777777"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14:paraId="7E7975FE" w14:textId="77777777"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14B0954D" w14:textId="77777777" w:rsidR="007F6D13" w:rsidRDefault="00A2741E" w:rsidP="000E1A81">
            <w:hyperlink r:id="rId109" w:history="1">
              <w:r w:rsidR="007F6D13">
                <w:rPr>
                  <w:rStyle w:val="Hipercze"/>
                </w:rPr>
                <w:t>Zarządzenie z dnia 24 sierpnia 2021 r. (mz.gov.pl)</w:t>
              </w:r>
            </w:hyperlink>
          </w:p>
        </w:tc>
      </w:tr>
      <w:tr w:rsidR="006249CE" w14:paraId="79F75516" w14:textId="77777777" w:rsidTr="00A506D2">
        <w:tc>
          <w:tcPr>
            <w:tcW w:w="352" w:type="pct"/>
          </w:tcPr>
          <w:p w14:paraId="53F0AFD4"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14:paraId="5396311B"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3E6B186" w14:textId="77777777"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14:paraId="04353DEC" w14:textId="77777777"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14:paraId="09952ADA" w14:textId="77777777"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14:paraId="3A99B5CD" w14:textId="77777777"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14:paraId="35E053B0" w14:textId="77777777" w:rsidR="006249CE" w:rsidRDefault="00A2741E" w:rsidP="000E1A81">
            <w:hyperlink r:id="rId110" w:history="1">
              <w:r w:rsidR="006249CE">
                <w:rPr>
                  <w:rStyle w:val="Hipercze"/>
                </w:rPr>
                <w:t>Zarządzenie z dnia 23 sierpnia 2021 r. (mz.gov.pl)</w:t>
              </w:r>
            </w:hyperlink>
          </w:p>
        </w:tc>
      </w:tr>
      <w:tr w:rsidR="007F32B2" w14:paraId="47D7AC8A" w14:textId="77777777" w:rsidTr="00A506D2">
        <w:tc>
          <w:tcPr>
            <w:tcW w:w="352" w:type="pct"/>
          </w:tcPr>
          <w:p w14:paraId="20881824"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2012ED54"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127779A"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 xml:space="preserve">z </w:t>
            </w:r>
            <w:r w:rsidRPr="007F32B2">
              <w:rPr>
                <w:rFonts w:ascii="Times New Roman" w:hAnsi="Times New Roman" w:cs="Times New Roman"/>
                <w:b w:val="0"/>
                <w:color w:val="auto"/>
                <w:sz w:val="20"/>
                <w:szCs w:val="20"/>
                <w:shd w:val="clear" w:color="auto" w:fill="FFFFFF"/>
              </w:rPr>
              <w:lastRenderedPageBreak/>
              <w:t>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14:paraId="3223F862" w14:textId="77777777"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14:paraId="28FC8C3D"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7B9CC252" w14:textId="77777777" w:rsidR="007F32B2" w:rsidRDefault="00A2741E" w:rsidP="000E1A81">
            <w:hyperlink r:id="rId111" w:history="1">
              <w:r w:rsidR="007F32B2">
                <w:rPr>
                  <w:rStyle w:val="Hipercze"/>
                </w:rPr>
                <w:t>Obwieszczenie (mz.gov.pl)</w:t>
              </w:r>
            </w:hyperlink>
          </w:p>
        </w:tc>
      </w:tr>
      <w:tr w:rsidR="007F32B2" w14:paraId="311DB69F" w14:textId="77777777" w:rsidTr="00A506D2">
        <w:tc>
          <w:tcPr>
            <w:tcW w:w="352" w:type="pct"/>
          </w:tcPr>
          <w:p w14:paraId="3803019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66603D44"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51B43E1"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14:paraId="5207D0F9" w14:textId="77777777"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14:paraId="10E8D02E"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4E872184" w14:textId="77777777" w:rsidR="007F32B2" w:rsidRDefault="00A2741E" w:rsidP="000E1A81">
            <w:hyperlink r:id="rId112" w:history="1">
              <w:r w:rsidR="007F32B2">
                <w:rPr>
                  <w:rStyle w:val="Hipercze"/>
                </w:rPr>
                <w:t>Obwieszczenie (mz.gov.pl)</w:t>
              </w:r>
            </w:hyperlink>
          </w:p>
        </w:tc>
      </w:tr>
      <w:tr w:rsidR="007F32B2" w14:paraId="199E1080" w14:textId="77777777" w:rsidTr="00A506D2">
        <w:tc>
          <w:tcPr>
            <w:tcW w:w="352" w:type="pct"/>
          </w:tcPr>
          <w:p w14:paraId="5BF3BA4A"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303EA27E"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DEC8E0B" w14:textId="77777777"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w:t>
            </w:r>
            <w:r w:rsidRPr="007F32B2">
              <w:rPr>
                <w:rFonts w:ascii="Times New Roman" w:hAnsi="Times New Roman" w:cs="Times New Roman"/>
                <w:b w:val="0"/>
                <w:color w:val="auto"/>
                <w:sz w:val="20"/>
                <w:szCs w:val="20"/>
                <w:shd w:val="clear" w:color="auto" w:fill="FFFFFF"/>
              </w:rPr>
              <w:lastRenderedPageBreak/>
              <w:t>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14:paraId="271226C5" w14:textId="77777777"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14:paraId="7E662742"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14:paraId="2FFD0B0F" w14:textId="77777777" w:rsidR="007F32B2" w:rsidRDefault="00A2741E" w:rsidP="000E1A81">
            <w:hyperlink r:id="rId113" w:history="1">
              <w:r w:rsidR="007F32B2">
                <w:rPr>
                  <w:rStyle w:val="Hipercze"/>
                </w:rPr>
                <w:t>Zarządzenia Prezesa NFZ / Zarządzenia Prezesa / Narodowy Fundusz Zdrowia (NFZ) – finansujemy zdrowie Polaków</w:t>
              </w:r>
            </w:hyperlink>
          </w:p>
        </w:tc>
      </w:tr>
      <w:tr w:rsidR="009E61DF" w14:paraId="2C4F2B5E" w14:textId="77777777" w:rsidTr="00A506D2">
        <w:tc>
          <w:tcPr>
            <w:tcW w:w="352" w:type="pct"/>
          </w:tcPr>
          <w:p w14:paraId="5FEBAE01"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6F7F3C58"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F3AEFF4" w14:textId="77777777"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14:paraId="13146ABD" w14:textId="77777777"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14:paraId="114F9B52" w14:textId="77777777"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14:paraId="36065748" w14:textId="77777777" w:rsidR="009E61DF" w:rsidRDefault="00A2741E" w:rsidP="000E1A81">
            <w:hyperlink r:id="rId114" w:history="1">
              <w:r w:rsidR="00EE4803">
                <w:rPr>
                  <w:rStyle w:val="Hipercze"/>
                </w:rPr>
                <w:t>458.pdf</w:t>
              </w:r>
            </w:hyperlink>
          </w:p>
        </w:tc>
      </w:tr>
      <w:tr w:rsidR="00282CD2" w14:paraId="3632FD60" w14:textId="77777777" w:rsidTr="00A506D2">
        <w:tc>
          <w:tcPr>
            <w:tcW w:w="352" w:type="pct"/>
          </w:tcPr>
          <w:p w14:paraId="743F7030"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40BFE6BC"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D039988"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Funduszu Zdrowia oraz Centrum e-Zdrowia w procesach </w:t>
            </w:r>
            <w:r w:rsidRPr="00282CD2">
              <w:rPr>
                <w:rFonts w:ascii="Times New Roman" w:hAnsi="Times New Roman" w:cs="Times New Roman"/>
                <w:b w:val="0"/>
                <w:color w:val="auto"/>
                <w:sz w:val="20"/>
                <w:szCs w:val="20"/>
                <w:shd w:val="clear" w:color="auto" w:fill="FFFFFF"/>
              </w:rPr>
              <w:lastRenderedPageBreak/>
              <w:t>informatyzacji ochrony zdrowia</w:t>
            </w:r>
          </w:p>
        </w:tc>
        <w:tc>
          <w:tcPr>
            <w:tcW w:w="2115" w:type="pct"/>
          </w:tcPr>
          <w:p w14:paraId="2E25CB14"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14:paraId="7AEC7B7B"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14:paraId="5D4A06E2"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14:paraId="7BF6E6D6"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14:paraId="4A029EAC"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14:paraId="618DFAEF"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14:paraId="1EE0837C" w14:textId="77777777"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14:paraId="2620EBAA" w14:textId="77777777"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14:paraId="57FD9466" w14:textId="77777777" w:rsidR="00282CD2" w:rsidRDefault="00A2741E" w:rsidP="000E1A81">
            <w:hyperlink r:id="rId115" w:history="1">
              <w:r w:rsidR="009E61DF">
                <w:rPr>
                  <w:rStyle w:val="Hipercze"/>
                </w:rPr>
                <w:t>Zarządzenie z dnia 18 sierpnia 2021 r. (mz.gov.pl)</w:t>
              </w:r>
            </w:hyperlink>
          </w:p>
        </w:tc>
      </w:tr>
      <w:tr w:rsidR="00282CD2" w14:paraId="783BA91D" w14:textId="77777777" w:rsidTr="00A506D2">
        <w:tc>
          <w:tcPr>
            <w:tcW w:w="352" w:type="pct"/>
          </w:tcPr>
          <w:p w14:paraId="5D2F0A10"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70A1FEDF"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1BBA2E8"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14:paraId="6665555A" w14:textId="77777777"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14:paraId="58884AF1"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14:paraId="7FAFD2F1" w14:textId="77777777" w:rsidR="00282CD2" w:rsidRDefault="00282CD2" w:rsidP="008A47BD">
            <w:pPr>
              <w:jc w:val="center"/>
              <w:rPr>
                <w:rFonts w:ascii="Times New Roman" w:hAnsi="Times New Roman" w:cs="Times New Roman"/>
                <w:sz w:val="20"/>
                <w:szCs w:val="20"/>
              </w:rPr>
            </w:pPr>
          </w:p>
          <w:p w14:paraId="173C6E20" w14:textId="77777777"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14:paraId="04597DCC" w14:textId="77777777" w:rsidR="00282CD2" w:rsidRDefault="00A2741E" w:rsidP="000E1A81">
            <w:hyperlink r:id="rId116"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14:paraId="64202D58" w14:textId="77777777" w:rsidTr="00A506D2">
        <w:tc>
          <w:tcPr>
            <w:tcW w:w="352" w:type="pct"/>
          </w:tcPr>
          <w:p w14:paraId="23D3AB9B"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0A6B2CB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C9ED599"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14:paraId="0475311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14:paraId="1EE9F9E8"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w:t>
            </w:r>
            <w:r w:rsidRPr="00282CD2">
              <w:rPr>
                <w:rFonts w:ascii="Times New Roman" w:eastAsia="Times New Roman" w:hAnsi="Times New Roman" w:cs="Times New Roman"/>
                <w:sz w:val="20"/>
                <w:szCs w:val="20"/>
                <w:lang w:eastAsia="pl-PL"/>
              </w:rPr>
              <w:lastRenderedPageBreak/>
              <w:t>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112500FE"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53A3BD3B" w14:textId="77777777"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14:paraId="4B9F59AC" w14:textId="77777777" w:rsidR="00282CD2" w:rsidRDefault="00282CD2" w:rsidP="008A47BD">
            <w:pPr>
              <w:jc w:val="center"/>
              <w:rPr>
                <w:rFonts w:ascii="Times New Roman" w:hAnsi="Times New Roman" w:cs="Times New Roman"/>
                <w:sz w:val="20"/>
                <w:szCs w:val="20"/>
              </w:rPr>
            </w:pPr>
          </w:p>
          <w:p w14:paraId="3B400223"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17" w:history="1">
              <w:r w:rsidRPr="00EA3930">
                <w:rPr>
                  <w:rStyle w:val="Hipercze"/>
                </w:rPr>
                <w:t>dp@urpl.gov.pl</w:t>
              </w:r>
            </w:hyperlink>
            <w:r>
              <w:t>)</w:t>
            </w:r>
          </w:p>
        </w:tc>
        <w:tc>
          <w:tcPr>
            <w:tcW w:w="1174" w:type="pct"/>
          </w:tcPr>
          <w:p w14:paraId="219ECCB6" w14:textId="77777777" w:rsidR="00282CD2" w:rsidRDefault="00A2741E" w:rsidP="000E1A81">
            <w:hyperlink r:id="rId118" w:history="1">
              <w:r w:rsidR="00282CD2">
                <w:rPr>
                  <w:rStyle w:val="Hipercze"/>
                </w:rPr>
                <w:t>Akt prawny (legislacja.gov.pl)</w:t>
              </w:r>
            </w:hyperlink>
          </w:p>
        </w:tc>
      </w:tr>
      <w:tr w:rsidR="00282CD2" w14:paraId="3FB3FFA8" w14:textId="77777777" w:rsidTr="00A506D2">
        <w:tc>
          <w:tcPr>
            <w:tcW w:w="352" w:type="pct"/>
          </w:tcPr>
          <w:p w14:paraId="417870E5"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448FD88F"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D73B7D8" w14:textId="77777777"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14:paraId="3B60C7C4"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14:paraId="0ADC6C12"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w:t>
            </w:r>
            <w:r w:rsidRPr="00282CD2">
              <w:rPr>
                <w:rFonts w:ascii="Times New Roman" w:eastAsia="Times New Roman" w:hAnsi="Times New Roman" w:cs="Times New Roman"/>
                <w:sz w:val="20"/>
                <w:szCs w:val="20"/>
                <w:lang w:eastAsia="pl-PL"/>
              </w:rPr>
              <w:lastRenderedPageBreak/>
              <w:t>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14:paraId="452A950D"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14:paraId="0DA4FB80"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14:paraId="0D5126EF"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14:paraId="7D4F5299" w14:textId="77777777"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14:paraId="6720A520"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19" w:history="1">
              <w:r w:rsidRPr="00EA3930">
                <w:rPr>
                  <w:rStyle w:val="Hipercze"/>
                </w:rPr>
                <w:t>uwagi.swiadczenia.gwarantowane@mz.gov.pl</w:t>
              </w:r>
            </w:hyperlink>
            <w:r>
              <w:t>)</w:t>
            </w:r>
          </w:p>
        </w:tc>
        <w:tc>
          <w:tcPr>
            <w:tcW w:w="1174" w:type="pct"/>
          </w:tcPr>
          <w:p w14:paraId="6A6BAC0B" w14:textId="77777777" w:rsidR="00282CD2" w:rsidRDefault="00A2741E" w:rsidP="000E1A81">
            <w:hyperlink r:id="rId120" w:history="1">
              <w:r w:rsidR="00282CD2">
                <w:rPr>
                  <w:rStyle w:val="Hipercze"/>
                </w:rPr>
                <w:t>Akt prawny (legislacja.gov.pl)</w:t>
              </w:r>
            </w:hyperlink>
          </w:p>
        </w:tc>
      </w:tr>
      <w:tr w:rsidR="00FB336F" w14:paraId="0DD19AF0" w14:textId="77777777" w:rsidTr="00A506D2">
        <w:tc>
          <w:tcPr>
            <w:tcW w:w="352" w:type="pct"/>
          </w:tcPr>
          <w:p w14:paraId="7763ABD1"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45C35E52"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306511E" w14:textId="77777777"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oraz Innymi Sfałszowanymi Produktami Spełniającymi Kryteria </w:t>
            </w:r>
            <w:r w:rsidRPr="00FB336F">
              <w:rPr>
                <w:rFonts w:ascii="Times New Roman" w:hAnsi="Times New Roman" w:cs="Times New Roman"/>
                <w:b w:val="0"/>
                <w:color w:val="auto"/>
                <w:sz w:val="20"/>
                <w:szCs w:val="20"/>
                <w:shd w:val="clear" w:color="auto" w:fill="FFFFFF"/>
              </w:rPr>
              <w:lastRenderedPageBreak/>
              <w:t>Produktu Leczniczego</w:t>
            </w:r>
          </w:p>
        </w:tc>
        <w:tc>
          <w:tcPr>
            <w:tcW w:w="2115" w:type="pct"/>
          </w:tcPr>
          <w:p w14:paraId="5462EA3A"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14:paraId="71C0967F"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14:paraId="045A87C4"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14:paraId="201726F9"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14:paraId="333EDDD9" w14:textId="77777777" w:rsidR="00FB336F" w:rsidRDefault="00A2741E" w:rsidP="000E1A81">
            <w:hyperlink r:id="rId121" w:history="1">
              <w:r w:rsidR="00FB336F">
                <w:rPr>
                  <w:rStyle w:val="Hipercze"/>
                </w:rPr>
                <w:t>dziennikmz.mz.gov.pl/DUM_MZ/2021/62/akt.pdf</w:t>
              </w:r>
            </w:hyperlink>
          </w:p>
        </w:tc>
      </w:tr>
      <w:tr w:rsidR="00FB336F" w14:paraId="611A6235" w14:textId="77777777" w:rsidTr="00A506D2">
        <w:tc>
          <w:tcPr>
            <w:tcW w:w="352" w:type="pct"/>
          </w:tcPr>
          <w:p w14:paraId="3D319924"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32CCDD82"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85A9F7C" w14:textId="77777777"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14:paraId="47A56164"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14:paraId="2E961138"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14:paraId="4E1F6DA8" w14:textId="77777777"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14:paraId="26BE977B"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22" w:history="1">
              <w:r w:rsidRPr="00CD331F">
                <w:rPr>
                  <w:rStyle w:val="Hipercze"/>
                </w:rPr>
                <w:t>dep-zp@mz.gov.pl</w:t>
              </w:r>
            </w:hyperlink>
            <w:r>
              <w:t>)</w:t>
            </w:r>
          </w:p>
        </w:tc>
        <w:tc>
          <w:tcPr>
            <w:tcW w:w="1174" w:type="pct"/>
          </w:tcPr>
          <w:p w14:paraId="78C60E2A" w14:textId="77777777" w:rsidR="00FB336F" w:rsidRDefault="00A2741E" w:rsidP="000E1A81">
            <w:hyperlink r:id="rId123" w:anchor="12810152" w:history="1">
              <w:r w:rsidR="00FB336F">
                <w:rPr>
                  <w:rStyle w:val="Hipercze"/>
                </w:rPr>
                <w:t>Projekt (legislacja.gov.pl)</w:t>
              </w:r>
            </w:hyperlink>
          </w:p>
        </w:tc>
      </w:tr>
      <w:tr w:rsidR="002F6377" w14:paraId="7FDF1778" w14:textId="77777777" w:rsidTr="00A506D2">
        <w:tc>
          <w:tcPr>
            <w:tcW w:w="352" w:type="pct"/>
          </w:tcPr>
          <w:p w14:paraId="4C367C52"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14:paraId="614C334C"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4358DED3" w14:textId="77777777"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14:paraId="436913ED" w14:textId="77777777"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14:paraId="312E4BAE" w14:textId="77777777"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14:paraId="581A3138" w14:textId="77777777" w:rsidR="002F6377" w:rsidRDefault="00A2741E" w:rsidP="000E1A81">
            <w:hyperlink r:id="rId124" w:history="1">
              <w:r w:rsidR="002F6377">
                <w:rPr>
                  <w:rStyle w:val="Hipercze"/>
                </w:rPr>
                <w:t>Zarządzenie z dnia 16 sierpnia 2021 r. (mz.gov.pl)</w:t>
              </w:r>
            </w:hyperlink>
          </w:p>
        </w:tc>
      </w:tr>
      <w:tr w:rsidR="00F024DA" w14:paraId="5F24747A" w14:textId="77777777" w:rsidTr="00A506D2">
        <w:tc>
          <w:tcPr>
            <w:tcW w:w="352" w:type="pct"/>
          </w:tcPr>
          <w:p w14:paraId="2C94468A"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4F62DDFF"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EEB4C84" w14:textId="77777777"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w:t>
            </w:r>
            <w:r w:rsidRPr="00F024DA">
              <w:rPr>
                <w:rFonts w:ascii="Times New Roman" w:eastAsia="Times New Roman" w:hAnsi="Times New Roman" w:cs="Times New Roman"/>
                <w:b w:val="0"/>
                <w:bCs w:val="0"/>
                <w:color w:val="auto"/>
                <w:sz w:val="20"/>
                <w:szCs w:val="20"/>
                <w:lang w:eastAsia="pl-PL"/>
              </w:rPr>
              <w:lastRenderedPageBreak/>
              <w:t>r. zmieniające rozporządzenie w sprawie ogólnych warunków umów o udzielanie świadczeń opieki zdrowotnej</w:t>
            </w:r>
          </w:p>
        </w:tc>
        <w:tc>
          <w:tcPr>
            <w:tcW w:w="2115" w:type="pct"/>
          </w:tcPr>
          <w:p w14:paraId="43E3255E"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w:t>
            </w:r>
            <w:r w:rsidRPr="00F024DA">
              <w:rPr>
                <w:rFonts w:ascii="Times New Roman" w:eastAsia="Times New Roman" w:hAnsi="Times New Roman" w:cs="Times New Roman"/>
                <w:sz w:val="20"/>
                <w:szCs w:val="20"/>
                <w:lang w:eastAsia="pl-PL"/>
              </w:rPr>
              <w:lastRenderedPageBreak/>
              <w:t>dnia 4 września 2020 r. zmieniającego rozporządzenie w sprawie ogólnych warunków umów o udzielanie świadczeń opieki zdrowotnej (Dz. U. poz. 1548, z późn. zm.).</w:t>
            </w:r>
          </w:p>
          <w:p w14:paraId="7C1D5093"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14:paraId="0BA917E8" w14:textId="77777777"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w:t>
            </w:r>
            <w:r w:rsidRPr="00F024DA">
              <w:rPr>
                <w:rFonts w:ascii="Times New Roman" w:hAnsi="Times New Roman" w:cs="Times New Roman"/>
                <w:sz w:val="20"/>
                <w:szCs w:val="20"/>
              </w:rPr>
              <w:lastRenderedPageBreak/>
              <w:t>który wchodzi w życie</w:t>
            </w:r>
          </w:p>
          <w:p w14:paraId="7106E689" w14:textId="77777777"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14:paraId="30C70C02" w14:textId="77777777" w:rsidR="00F024DA" w:rsidRDefault="00A2741E" w:rsidP="000E1A81">
            <w:hyperlink r:id="rId125" w:history="1">
              <w:r w:rsidR="00F024DA">
                <w:rPr>
                  <w:rStyle w:val="Hipercze"/>
                </w:rPr>
                <w:t xml:space="preserve">Rozporządzenie Ministra Zdrowia z dnia 11 sierpnia 2021 r. zmieniające rozporządzenie w sprawie ogólnych warunków umów o udzielanie świadczeń </w:t>
              </w:r>
              <w:r w:rsidR="00F024DA">
                <w:rPr>
                  <w:rStyle w:val="Hipercze"/>
                </w:rPr>
                <w:lastRenderedPageBreak/>
                <w:t>opieki zdrowotnej (dziennikustaw.gov.pl)</w:t>
              </w:r>
            </w:hyperlink>
          </w:p>
        </w:tc>
      </w:tr>
      <w:tr w:rsidR="00F024DA" w14:paraId="215B77A0" w14:textId="77777777" w:rsidTr="00A506D2">
        <w:tc>
          <w:tcPr>
            <w:tcW w:w="352" w:type="pct"/>
          </w:tcPr>
          <w:p w14:paraId="14955EAA"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14:paraId="415D5A47"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55D2A50" w14:textId="77777777"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14:paraId="522D14B4"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14:paraId="26802ED5"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14:paraId="1E917B5F" w14:textId="77777777"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26" w:history="1">
              <w:r w:rsidRPr="00CD331F">
                <w:rPr>
                  <w:rStyle w:val="Hipercze"/>
                </w:rPr>
                <w:t>dep-zp@mz.gov.pl</w:t>
              </w:r>
            </w:hyperlink>
            <w:r>
              <w:t>)</w:t>
            </w:r>
          </w:p>
        </w:tc>
        <w:tc>
          <w:tcPr>
            <w:tcW w:w="1174" w:type="pct"/>
          </w:tcPr>
          <w:p w14:paraId="4E36A4C2" w14:textId="77777777" w:rsidR="00F024DA" w:rsidRDefault="00A2741E" w:rsidP="000E1A81">
            <w:hyperlink r:id="rId127" w:history="1">
              <w:r w:rsidR="00F024DA">
                <w:rPr>
                  <w:rStyle w:val="Hipercze"/>
                </w:rPr>
                <w:t>Akt prawny (legislacja.gov.pl)</w:t>
              </w:r>
            </w:hyperlink>
          </w:p>
        </w:tc>
      </w:tr>
      <w:tr w:rsidR="00FF4AF3" w14:paraId="5A7B6278" w14:textId="77777777" w:rsidTr="00A506D2">
        <w:tc>
          <w:tcPr>
            <w:tcW w:w="352" w:type="pct"/>
          </w:tcPr>
          <w:p w14:paraId="4D090419"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6DEF1E27"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964ADAA" w14:textId="77777777"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w:t>
            </w:r>
            <w:r w:rsidRPr="00656203">
              <w:rPr>
                <w:rFonts w:ascii="Times New Roman" w:eastAsia="Times New Roman" w:hAnsi="Times New Roman" w:cs="Times New Roman"/>
                <w:b w:val="0"/>
                <w:bCs w:val="0"/>
                <w:color w:val="auto"/>
                <w:sz w:val="20"/>
                <w:szCs w:val="20"/>
                <w:lang w:eastAsia="pl-PL"/>
              </w:rPr>
              <w:lastRenderedPageBreak/>
              <w:t>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14:paraId="76671105" w14:textId="77777777"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14:paraId="6B04EAD8" w14:textId="77777777"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zostali powołani m.in. Pani Anna Małecka-Dubiela, Konsultant Krajowy w dziedzinie pielęgniarstwa ratunkowego oraz Pan </w:t>
            </w:r>
            <w:r>
              <w:rPr>
                <w:rFonts w:ascii="Times New Roman" w:eastAsia="Times New Roman" w:hAnsi="Times New Roman" w:cs="Times New Roman"/>
                <w:sz w:val="20"/>
                <w:szCs w:val="20"/>
                <w:lang w:eastAsia="pl-PL"/>
              </w:rPr>
              <w:lastRenderedPageBreak/>
              <w:t>Marek Maślanka Prezes Polskiego Towarzystwa Pielęgniarstwa Ratunkwego.</w:t>
            </w:r>
          </w:p>
        </w:tc>
        <w:tc>
          <w:tcPr>
            <w:tcW w:w="448" w:type="pct"/>
          </w:tcPr>
          <w:p w14:paraId="36B24E64" w14:textId="77777777"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sierpnia 2021 r., traci moc 1 grudnia 2021 r.</w:t>
            </w:r>
          </w:p>
        </w:tc>
        <w:tc>
          <w:tcPr>
            <w:tcW w:w="1174" w:type="pct"/>
          </w:tcPr>
          <w:p w14:paraId="717617C9" w14:textId="77777777" w:rsidR="00FF4AF3" w:rsidRDefault="00A2741E" w:rsidP="000E1A81">
            <w:hyperlink r:id="rId128" w:history="1">
              <w:r w:rsidR="00656203">
                <w:rPr>
                  <w:rStyle w:val="Hipercze"/>
                </w:rPr>
                <w:t>Zarządzenie (mz.gov.pl)</w:t>
              </w:r>
            </w:hyperlink>
          </w:p>
        </w:tc>
      </w:tr>
      <w:tr w:rsidR="00FF4AF3" w14:paraId="49CCD355" w14:textId="77777777" w:rsidTr="00A506D2">
        <w:tc>
          <w:tcPr>
            <w:tcW w:w="352" w:type="pct"/>
          </w:tcPr>
          <w:p w14:paraId="4A7D7786"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4A5F3907"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21BAA38" w14:textId="77777777"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14:paraId="3A5DF6AB" w14:textId="77777777"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14:paraId="41CCCD2C"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14:paraId="68E7DCA9"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14:paraId="22092AC5"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14:paraId="54BA8635" w14:textId="77777777"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14:paraId="12BB7367" w14:textId="77777777" w:rsidR="00FF4AF3" w:rsidRDefault="00FF4AF3" w:rsidP="00FF4AF3">
            <w:pPr>
              <w:jc w:val="center"/>
              <w:rPr>
                <w:rFonts w:ascii="Times New Roman" w:hAnsi="Times New Roman" w:cs="Times New Roman"/>
                <w:sz w:val="20"/>
                <w:szCs w:val="20"/>
              </w:rPr>
            </w:pPr>
          </w:p>
          <w:p w14:paraId="3C46E938" w14:textId="77777777"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14:paraId="076DE908" w14:textId="77777777" w:rsidR="00FF4AF3" w:rsidRDefault="00FF4AF3" w:rsidP="006459EE">
            <w:pPr>
              <w:jc w:val="center"/>
              <w:rPr>
                <w:rFonts w:ascii="Times New Roman" w:hAnsi="Times New Roman" w:cs="Times New Roman"/>
                <w:sz w:val="20"/>
                <w:szCs w:val="20"/>
              </w:rPr>
            </w:pPr>
          </w:p>
          <w:p w14:paraId="1E9189A9"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14:paraId="505AE33F" w14:textId="77777777" w:rsidR="00FF4AF3" w:rsidRDefault="00A2741E" w:rsidP="000E1A81">
            <w:hyperlink r:id="rId129"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14:paraId="76150291" w14:textId="77777777" w:rsidTr="00A506D2">
        <w:tc>
          <w:tcPr>
            <w:tcW w:w="352" w:type="pct"/>
          </w:tcPr>
          <w:p w14:paraId="51D44FDA"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59082E38"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14:paraId="29E1F3E2" w14:textId="77777777"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lastRenderedPageBreak/>
              <w:t>ZARZĄDZENI</w:t>
            </w:r>
            <w:r w:rsidRPr="00FF4AF3">
              <w:rPr>
                <w:rFonts w:ascii="Times New Roman" w:hAnsi="Times New Roman" w:cs="Times New Roman"/>
                <w:b w:val="0"/>
                <w:color w:val="auto"/>
                <w:sz w:val="20"/>
                <w:szCs w:val="20"/>
                <w:shd w:val="clear" w:color="auto" w:fill="FFFFFF"/>
              </w:rPr>
              <w:lastRenderedPageBreak/>
              <w:t>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14:paraId="5C560143"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w:t>
            </w:r>
            <w:r w:rsidRPr="00FF4AF3">
              <w:rPr>
                <w:rFonts w:ascii="Times New Roman" w:hAnsi="Times New Roman" w:cs="Times New Roman"/>
                <w:sz w:val="20"/>
                <w:szCs w:val="20"/>
              </w:rPr>
              <w:lastRenderedPageBreak/>
              <w:t>„Zapewnienie bezpieczeństwa i opieki pacjentom oraz bezpieczeństwa personelowi zakładów opiekuńczo-leczniczych, domów pomocy społecznej, zakładów pielęgnacyjno-opiekuńczych i hospicjów na czas COVID-19” (ze zm.).</w:t>
            </w:r>
          </w:p>
          <w:p w14:paraId="6A7B5136"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14:paraId="17E777B6"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14:paraId="25E83498" w14:textId="77777777"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14:paraId="58367CE4"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12 sierpnia </w:t>
            </w:r>
            <w:r>
              <w:rPr>
                <w:rFonts w:ascii="Times New Roman" w:hAnsi="Times New Roman" w:cs="Times New Roman"/>
                <w:sz w:val="20"/>
                <w:szCs w:val="20"/>
              </w:rPr>
              <w:lastRenderedPageBreak/>
              <w:t>2021 r.</w:t>
            </w:r>
          </w:p>
        </w:tc>
        <w:tc>
          <w:tcPr>
            <w:tcW w:w="1174" w:type="pct"/>
          </w:tcPr>
          <w:p w14:paraId="3D621038" w14:textId="77777777" w:rsidR="00FF4AF3" w:rsidRDefault="00A2741E" w:rsidP="000E1A81">
            <w:hyperlink r:id="rId130" w:history="1">
              <w:r w:rsidR="00FF4AF3">
                <w:rPr>
                  <w:rStyle w:val="Hipercze"/>
                </w:rPr>
                <w:t xml:space="preserve">Zarządzenia Prezesa NFZ / Zarządzenia Prezesa / Narodowy </w:t>
              </w:r>
              <w:r w:rsidR="00FF4AF3">
                <w:rPr>
                  <w:rStyle w:val="Hipercze"/>
                </w:rPr>
                <w:lastRenderedPageBreak/>
                <w:t>Fundusz Zdrowia (NFZ) – finansujemy zdrowie Polaków</w:t>
              </w:r>
            </w:hyperlink>
          </w:p>
        </w:tc>
      </w:tr>
      <w:tr w:rsidR="00FF4AF3" w14:paraId="28B2E061" w14:textId="77777777" w:rsidTr="00A506D2">
        <w:tc>
          <w:tcPr>
            <w:tcW w:w="352" w:type="pct"/>
          </w:tcPr>
          <w:p w14:paraId="1F1066C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14:paraId="534445C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7D368AF5" w14:textId="77777777"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w:t>
            </w:r>
            <w:r w:rsidRPr="00F73B45">
              <w:rPr>
                <w:rFonts w:ascii="Times New Roman" w:hAnsi="Times New Roman" w:cs="Times New Roman"/>
                <w:b w:val="0"/>
                <w:color w:val="auto"/>
                <w:sz w:val="20"/>
                <w:szCs w:val="20"/>
                <w:shd w:val="clear" w:color="auto" w:fill="FFFFFF"/>
              </w:rPr>
              <w:lastRenderedPageBreak/>
              <w:t>ZDROWIA z dnia 11.08.2021 r. zmieniające zarządzenie w sprawie warunków udzielania i rozliczania dofinansowania informatyzacji świadczeniodawców – integracja TOPSOR z HIS</w:t>
            </w:r>
          </w:p>
        </w:tc>
        <w:tc>
          <w:tcPr>
            <w:tcW w:w="2115" w:type="pct"/>
          </w:tcPr>
          <w:p w14:paraId="307DCFC4"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14:paraId="6598684B"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14:paraId="22E5FA23"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14:paraId="6BB9D1FA" w14:textId="77777777"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14:paraId="52B945AD" w14:textId="77777777" w:rsidR="00FF4AF3" w:rsidRPr="00F73B45" w:rsidRDefault="00A2741E" w:rsidP="000E1A81">
            <w:pPr>
              <w:rPr>
                <w:rFonts w:ascii="Times New Roman" w:hAnsi="Times New Roman" w:cs="Times New Roman"/>
                <w:sz w:val="20"/>
                <w:szCs w:val="20"/>
              </w:rPr>
            </w:pPr>
            <w:hyperlink r:id="rId131"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14:paraId="72E6614A" w14:textId="77777777" w:rsidTr="00A506D2">
        <w:tc>
          <w:tcPr>
            <w:tcW w:w="352" w:type="pct"/>
          </w:tcPr>
          <w:p w14:paraId="7156BD9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27B4D16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5ED149A2"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w:t>
            </w:r>
            <w:r w:rsidRPr="00F73B45">
              <w:rPr>
                <w:rFonts w:ascii="Times New Roman" w:hAnsi="Times New Roman" w:cs="Times New Roman"/>
                <w:b w:val="0"/>
                <w:color w:val="auto"/>
                <w:sz w:val="20"/>
                <w:szCs w:val="20"/>
                <w:shd w:val="clear" w:color="auto" w:fill="FFFFFF"/>
              </w:rPr>
              <w:lastRenderedPageBreak/>
              <w:t>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14:paraId="1E02AC10"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14:paraId="678F9DFA"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14:paraId="0BAC7A8E" w14:textId="77777777" w:rsidR="00FF4AF3" w:rsidRPr="00F73B45" w:rsidRDefault="00A2741E" w:rsidP="000E1A81">
            <w:pPr>
              <w:rPr>
                <w:rFonts w:ascii="Times New Roman" w:hAnsi="Times New Roman" w:cs="Times New Roman"/>
                <w:sz w:val="20"/>
                <w:szCs w:val="20"/>
              </w:rPr>
            </w:pPr>
            <w:hyperlink r:id="rId132" w:history="1">
              <w:r w:rsidR="00FF4AF3" w:rsidRPr="00F73B45">
                <w:rPr>
                  <w:rStyle w:val="Hipercze"/>
                  <w:rFonts w:ascii="Times New Roman" w:hAnsi="Times New Roman" w:cs="Times New Roman"/>
                  <w:sz w:val="20"/>
                  <w:szCs w:val="20"/>
                </w:rPr>
                <w:t>https://dziennikustaw.gov.pl/D2021000145801.pdf</w:t>
              </w:r>
            </w:hyperlink>
          </w:p>
        </w:tc>
      </w:tr>
      <w:tr w:rsidR="00FF4AF3" w14:paraId="6E7118E6" w14:textId="77777777" w:rsidTr="00A506D2">
        <w:tc>
          <w:tcPr>
            <w:tcW w:w="352" w:type="pct"/>
          </w:tcPr>
          <w:p w14:paraId="0B2F4D9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30BF8CE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3F8DD3A9"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14:paraId="3EFDCE64"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14:paraId="29E39D8F" w14:textId="77777777" w:rsidR="00FF4AF3" w:rsidRPr="00F73B45" w:rsidRDefault="00FF4AF3" w:rsidP="006459EE">
            <w:pPr>
              <w:rPr>
                <w:rFonts w:ascii="Times New Roman" w:eastAsia="Times New Roman" w:hAnsi="Times New Roman" w:cs="Times New Roman"/>
                <w:sz w:val="20"/>
                <w:szCs w:val="20"/>
                <w:lang w:eastAsia="pl-PL"/>
              </w:rPr>
            </w:pPr>
          </w:p>
        </w:tc>
        <w:tc>
          <w:tcPr>
            <w:tcW w:w="448" w:type="pct"/>
          </w:tcPr>
          <w:p w14:paraId="1C203884"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14:paraId="1B24D0F5" w14:textId="77777777" w:rsidR="00FF4AF3" w:rsidRPr="00F73B45" w:rsidRDefault="00A2741E" w:rsidP="000E1A81">
            <w:pPr>
              <w:rPr>
                <w:rFonts w:ascii="Times New Roman" w:hAnsi="Times New Roman" w:cs="Times New Roman"/>
                <w:sz w:val="20"/>
                <w:szCs w:val="20"/>
              </w:rPr>
            </w:pPr>
            <w:hyperlink r:id="rId133"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14:paraId="41DCED47" w14:textId="77777777" w:rsidTr="00A506D2">
        <w:tc>
          <w:tcPr>
            <w:tcW w:w="352" w:type="pct"/>
          </w:tcPr>
          <w:p w14:paraId="03D51DD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21E6F60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47A6A54" w14:textId="77777777"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Rozporządzenie Ministra Zdrowia z dnia 23 lipca 2021 r. </w:t>
            </w:r>
            <w:r w:rsidRPr="00F73B45">
              <w:rPr>
                <w:rFonts w:ascii="Times New Roman" w:eastAsia="Times New Roman" w:hAnsi="Times New Roman" w:cs="Times New Roman"/>
                <w:b w:val="0"/>
                <w:bCs w:val="0"/>
                <w:color w:val="auto"/>
                <w:sz w:val="20"/>
                <w:szCs w:val="20"/>
                <w:lang w:eastAsia="pl-PL"/>
              </w:rPr>
              <w:lastRenderedPageBreak/>
              <w:t>w sprawie wzoru karty zgonu</w:t>
            </w:r>
          </w:p>
        </w:tc>
        <w:tc>
          <w:tcPr>
            <w:tcW w:w="2115" w:type="pct"/>
          </w:tcPr>
          <w:p w14:paraId="574DD9ED" w14:textId="77777777"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Określenie wzoru karty zgonu</w:t>
            </w:r>
          </w:p>
        </w:tc>
        <w:tc>
          <w:tcPr>
            <w:tcW w:w="448" w:type="pct"/>
          </w:tcPr>
          <w:p w14:paraId="60AE48E4" w14:textId="77777777"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 xml:space="preserve">Wchodzi w życie 5 października 2021 r., traci moc 1 stycznia </w:t>
            </w:r>
            <w:r w:rsidRPr="00F73B45">
              <w:rPr>
                <w:rFonts w:ascii="Times New Roman" w:hAnsi="Times New Roman" w:cs="Times New Roman"/>
                <w:sz w:val="20"/>
                <w:szCs w:val="20"/>
              </w:rPr>
              <w:lastRenderedPageBreak/>
              <w:t>2023 r.</w:t>
            </w:r>
          </w:p>
        </w:tc>
        <w:tc>
          <w:tcPr>
            <w:tcW w:w="1174" w:type="pct"/>
          </w:tcPr>
          <w:p w14:paraId="192F2CF8" w14:textId="77777777" w:rsidR="00FF4AF3" w:rsidRPr="00F73B45" w:rsidRDefault="00A2741E" w:rsidP="000E1A81">
            <w:pPr>
              <w:rPr>
                <w:rFonts w:ascii="Times New Roman" w:hAnsi="Times New Roman" w:cs="Times New Roman"/>
                <w:sz w:val="20"/>
                <w:szCs w:val="20"/>
              </w:rPr>
            </w:pPr>
            <w:hyperlink r:id="rId134" w:history="1">
              <w:r w:rsidR="00FF4AF3" w:rsidRPr="00F73B45">
                <w:rPr>
                  <w:rStyle w:val="Hipercze"/>
                  <w:rFonts w:ascii="Times New Roman" w:hAnsi="Times New Roman" w:cs="Times New Roman"/>
                  <w:sz w:val="20"/>
                  <w:szCs w:val="20"/>
                </w:rPr>
                <w:t>https://dziennikustaw.gov.pl/D2021000144801.pdf</w:t>
              </w:r>
            </w:hyperlink>
          </w:p>
        </w:tc>
      </w:tr>
      <w:tr w:rsidR="00FF4AF3" w14:paraId="552E8E55" w14:textId="77777777" w:rsidTr="00A506D2">
        <w:tc>
          <w:tcPr>
            <w:tcW w:w="352" w:type="pct"/>
          </w:tcPr>
          <w:p w14:paraId="538785B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1120F3C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3833F0C8"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14:paraId="3BA8EEF1"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14:paraId="5AE35590"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5E565020"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14:paraId="304CBB29" w14:textId="77777777" w:rsidR="00FF4AF3" w:rsidRPr="00F73B45" w:rsidRDefault="00FF4AF3" w:rsidP="007C6B85">
            <w:pPr>
              <w:jc w:val="center"/>
              <w:rPr>
                <w:rFonts w:ascii="Times New Roman" w:hAnsi="Times New Roman" w:cs="Times New Roman"/>
                <w:sz w:val="20"/>
                <w:szCs w:val="20"/>
              </w:rPr>
            </w:pPr>
          </w:p>
          <w:p w14:paraId="0AB4DE14"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14:paraId="57B851FF" w14:textId="77777777" w:rsidR="00FF4AF3" w:rsidRPr="00F73B45" w:rsidRDefault="00A2741E" w:rsidP="000E1A81">
            <w:pPr>
              <w:rPr>
                <w:rFonts w:ascii="Times New Roman" w:hAnsi="Times New Roman" w:cs="Times New Roman"/>
                <w:sz w:val="20"/>
                <w:szCs w:val="20"/>
              </w:rPr>
            </w:pPr>
            <w:hyperlink r:id="rId135" w:history="1">
              <w:r w:rsidR="00FF4AF3" w:rsidRPr="00F73B45">
                <w:rPr>
                  <w:rStyle w:val="Hipercze"/>
                  <w:rFonts w:ascii="Times New Roman" w:hAnsi="Times New Roman" w:cs="Times New Roman"/>
                  <w:sz w:val="20"/>
                  <w:szCs w:val="20"/>
                </w:rPr>
                <w:t>https://www.senat.gov.pl/prace/druki/record,11468.html</w:t>
              </w:r>
            </w:hyperlink>
          </w:p>
        </w:tc>
      </w:tr>
      <w:tr w:rsidR="00FF4AF3" w14:paraId="7802AF9B" w14:textId="77777777" w:rsidTr="00A506D2">
        <w:tc>
          <w:tcPr>
            <w:tcW w:w="352" w:type="pct"/>
          </w:tcPr>
          <w:p w14:paraId="761745E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75E1350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5BBD7CC1"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14:paraId="0F67DF2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14:paraId="1EE8388E"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14:paraId="4DCE5635"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14:paraId="7FCE190D"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14:paraId="20A3F3D9"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14:paraId="4CCE8381"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14:paraId="2997C421"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14:paraId="3E4BFEC7"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14:paraId="0479FB81"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14:paraId="56B223DB"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14:paraId="0B1677E8" w14:textId="77777777" w:rsidR="00FF4AF3" w:rsidRPr="00F73B45" w:rsidRDefault="00A2741E" w:rsidP="000E1A81">
            <w:pPr>
              <w:rPr>
                <w:rFonts w:ascii="Times New Roman" w:hAnsi="Times New Roman" w:cs="Times New Roman"/>
                <w:sz w:val="20"/>
                <w:szCs w:val="20"/>
              </w:rPr>
            </w:pPr>
            <w:hyperlink r:id="rId136"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14:paraId="75E88143" w14:textId="77777777" w:rsidTr="00A506D2">
        <w:tc>
          <w:tcPr>
            <w:tcW w:w="352" w:type="pct"/>
          </w:tcPr>
          <w:p w14:paraId="1A17D39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1F1CC1C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2D4320E0" w14:textId="77777777"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w:t>
            </w:r>
            <w:r w:rsidRPr="00F73B45">
              <w:rPr>
                <w:rFonts w:ascii="Times New Roman" w:hAnsi="Times New Roman" w:cs="Times New Roman"/>
                <w:b w:val="0"/>
                <w:color w:val="auto"/>
                <w:sz w:val="20"/>
                <w:szCs w:val="20"/>
                <w:shd w:val="clear" w:color="auto" w:fill="FFFFFF"/>
              </w:rPr>
              <w:lastRenderedPageBreak/>
              <w:t>sprawie powołania Zespołu do spraw utworzenia Centrum Digitalizacji Dokumentacji Medycznej w Chełmie</w:t>
            </w:r>
          </w:p>
        </w:tc>
        <w:tc>
          <w:tcPr>
            <w:tcW w:w="2115" w:type="pct"/>
          </w:tcPr>
          <w:p w14:paraId="0350F79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14:paraId="5436F08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14:paraId="5AB696B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14:paraId="29C06D8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14:paraId="5637A53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14:paraId="2FCA3DD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3) koordynowanie i monitorowanie prac realizowanych w związku z utworzeniem Centrum;</w:t>
            </w:r>
          </w:p>
          <w:p w14:paraId="7CB45665"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14:paraId="2D635E59"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14:paraId="58274756" w14:textId="77777777" w:rsidR="00FF4AF3" w:rsidRPr="00F73B45" w:rsidRDefault="00A2741E" w:rsidP="000E1A81">
            <w:pPr>
              <w:rPr>
                <w:rFonts w:ascii="Times New Roman" w:hAnsi="Times New Roman" w:cs="Times New Roman"/>
                <w:sz w:val="20"/>
                <w:szCs w:val="20"/>
              </w:rPr>
            </w:pPr>
            <w:hyperlink r:id="rId137" w:history="1">
              <w:r w:rsidR="00FF4AF3" w:rsidRPr="00F73B45">
                <w:rPr>
                  <w:rStyle w:val="Hipercze"/>
                  <w:rFonts w:ascii="Times New Roman" w:hAnsi="Times New Roman" w:cs="Times New Roman"/>
                  <w:sz w:val="20"/>
                  <w:szCs w:val="20"/>
                </w:rPr>
                <w:t>http://dziennikmz.mz.gov.pl/DUM_MZ/2021/58/akt.pdf</w:t>
              </w:r>
            </w:hyperlink>
          </w:p>
        </w:tc>
      </w:tr>
      <w:tr w:rsidR="00FF4AF3" w14:paraId="4D98A7EC" w14:textId="77777777" w:rsidTr="00A506D2">
        <w:tc>
          <w:tcPr>
            <w:tcW w:w="352" w:type="pct"/>
          </w:tcPr>
          <w:p w14:paraId="73B3CB1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5382426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739A981"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14:paraId="0A289607" w14:textId="77777777"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52104E0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568F3BD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14:paraId="4FF67467"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14:paraId="3CDC6517"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14:paraId="6E1EFCB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35D2F99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79BEC7C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w:t>
            </w:r>
            <w:r w:rsidRPr="00F73B45">
              <w:rPr>
                <w:rFonts w:ascii="Times New Roman" w:eastAsia="Times New Roman" w:hAnsi="Times New Roman" w:cs="Times New Roman"/>
                <w:sz w:val="20"/>
                <w:szCs w:val="20"/>
                <w:lang w:eastAsia="pl-PL"/>
              </w:rPr>
              <w:lastRenderedPageBreak/>
              <w:t>społecznej, lub w placówce zapewniającej całodobową opiekę osobom niepełnosprawnym, przewlekle chorym lub osobom w podeszłym wieku, o której mowa w art. 67 i art. 69 tej ustawy,</w:t>
            </w:r>
          </w:p>
          <w:p w14:paraId="27035C5D"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46FB167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2999429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14:paraId="779CB4FB"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51D7F36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14:paraId="64A07CD2"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14:paraId="7BE1610C"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1055049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w:t>
            </w:r>
            <w:r w:rsidRPr="00F73B45">
              <w:rPr>
                <w:rFonts w:ascii="Times New Roman" w:eastAsia="Times New Roman" w:hAnsi="Times New Roman" w:cs="Times New Roman"/>
                <w:sz w:val="20"/>
                <w:szCs w:val="20"/>
                <w:lang w:eastAsia="pl-PL"/>
              </w:rPr>
              <w:lastRenderedPageBreak/>
              <w:t>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289EF399"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38"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14:paraId="74F3F205" w14:textId="77777777" w:rsidR="00FF4AF3" w:rsidRPr="00F73B45" w:rsidRDefault="00A2741E" w:rsidP="000E1A81">
            <w:pPr>
              <w:rPr>
                <w:rFonts w:ascii="Times New Roman" w:hAnsi="Times New Roman" w:cs="Times New Roman"/>
                <w:sz w:val="20"/>
                <w:szCs w:val="20"/>
              </w:rPr>
            </w:pPr>
            <w:hyperlink r:id="rId139" w:history="1">
              <w:r w:rsidR="00FF4AF3" w:rsidRPr="00F73B45">
                <w:rPr>
                  <w:rStyle w:val="Hipercze"/>
                  <w:rFonts w:ascii="Times New Roman" w:hAnsi="Times New Roman" w:cs="Times New Roman"/>
                  <w:sz w:val="20"/>
                  <w:szCs w:val="20"/>
                </w:rPr>
                <w:t>Akt prawny (legislacja.gov.pl)</w:t>
              </w:r>
            </w:hyperlink>
          </w:p>
        </w:tc>
      </w:tr>
      <w:tr w:rsidR="00FF4AF3" w14:paraId="169CE748" w14:textId="77777777" w:rsidTr="00A506D2">
        <w:tc>
          <w:tcPr>
            <w:tcW w:w="352" w:type="pct"/>
          </w:tcPr>
          <w:p w14:paraId="746ED72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14:paraId="5B4206B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14:paraId="0F091A10"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warunków zawierania i realizacji umów w rodzaju leczenie szpitalne oraz leczenie szpitalne – </w:t>
            </w:r>
            <w:r w:rsidRPr="00F73B45">
              <w:rPr>
                <w:rFonts w:ascii="Times New Roman" w:hAnsi="Times New Roman" w:cs="Times New Roman"/>
                <w:b w:val="0"/>
                <w:color w:val="auto"/>
                <w:sz w:val="20"/>
                <w:szCs w:val="20"/>
                <w:shd w:val="clear" w:color="auto" w:fill="FFFFFF"/>
              </w:rPr>
              <w:lastRenderedPageBreak/>
              <w:t>świadczenia wysokospecjalistyczne</w:t>
            </w:r>
          </w:p>
        </w:tc>
        <w:tc>
          <w:tcPr>
            <w:tcW w:w="2115" w:type="pct"/>
          </w:tcPr>
          <w:p w14:paraId="6B39A164"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14:paraId="1CF16168"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14:paraId="733291CB"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14:paraId="76100FBB"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14:paraId="613863DB"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14:paraId="4B5BAA31" w14:textId="77777777" w:rsidR="00FF4AF3" w:rsidRPr="00F73B45" w:rsidRDefault="00A2741E" w:rsidP="000E1A81">
            <w:pPr>
              <w:rPr>
                <w:rFonts w:ascii="Times New Roman" w:hAnsi="Times New Roman" w:cs="Times New Roman"/>
                <w:sz w:val="20"/>
                <w:szCs w:val="20"/>
              </w:rPr>
            </w:pPr>
            <w:hyperlink r:id="rId140"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14:paraId="58E5518C" w14:textId="77777777" w:rsidTr="00A506D2">
        <w:tc>
          <w:tcPr>
            <w:tcW w:w="352" w:type="pct"/>
          </w:tcPr>
          <w:p w14:paraId="1C61619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5EE9ACA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45926C59"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14:paraId="1D5363B5"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14:paraId="2324D446"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14:paraId="56F039C6" w14:textId="77777777" w:rsidR="00FF4AF3" w:rsidRPr="00F73B45" w:rsidRDefault="00A2741E" w:rsidP="000E1A81">
            <w:pPr>
              <w:rPr>
                <w:rFonts w:ascii="Times New Roman" w:hAnsi="Times New Roman" w:cs="Times New Roman"/>
                <w:sz w:val="20"/>
                <w:szCs w:val="20"/>
              </w:rPr>
            </w:pPr>
            <w:hyperlink r:id="rId141"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14:paraId="4226FEEF" w14:textId="77777777" w:rsidTr="00A506D2">
        <w:tc>
          <w:tcPr>
            <w:tcW w:w="352" w:type="pct"/>
          </w:tcPr>
          <w:p w14:paraId="707641E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03CBE15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F8F872A"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14:paraId="00412C94"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14:paraId="5F57E6D5"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14:paraId="4A3F54A5"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14:paraId="7A9F08F1" w14:textId="77777777" w:rsidR="00FF4AF3" w:rsidRPr="00F73B45" w:rsidRDefault="00A2741E" w:rsidP="000E1A81">
            <w:pPr>
              <w:rPr>
                <w:rFonts w:ascii="Times New Roman" w:hAnsi="Times New Roman" w:cs="Times New Roman"/>
                <w:sz w:val="20"/>
                <w:szCs w:val="20"/>
              </w:rPr>
            </w:pPr>
            <w:hyperlink r:id="rId142"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14:paraId="7D65BC2C" w14:textId="77777777" w:rsidTr="00A506D2">
        <w:tc>
          <w:tcPr>
            <w:tcW w:w="352" w:type="pct"/>
          </w:tcPr>
          <w:p w14:paraId="6D0EFA8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14:paraId="72AEEA5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w:t>
            </w:r>
            <w:r w:rsidRPr="00F73B45">
              <w:rPr>
                <w:rFonts w:ascii="Times New Roman" w:hAnsi="Times New Roman" w:cs="Times New Roman"/>
                <w:sz w:val="20"/>
                <w:szCs w:val="20"/>
              </w:rPr>
              <w:lastRenderedPageBreak/>
              <w:t>ji Produktów Leczniczych, Wyrobów Medycznych i Produktów Biobójczych</w:t>
            </w:r>
          </w:p>
        </w:tc>
        <w:tc>
          <w:tcPr>
            <w:tcW w:w="559" w:type="pct"/>
          </w:tcPr>
          <w:p w14:paraId="3B619E12"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w:t>
            </w:r>
            <w:r w:rsidRPr="00F73B45">
              <w:rPr>
                <w:rFonts w:ascii="Times New Roman" w:hAnsi="Times New Roman" w:cs="Times New Roman"/>
                <w:b w:val="0"/>
                <w:color w:val="auto"/>
                <w:sz w:val="20"/>
                <w:szCs w:val="20"/>
                <w:shd w:val="clear" w:color="auto" w:fill="FFFFFF"/>
              </w:rPr>
              <w:lastRenderedPageBreak/>
              <w:t>Produktów Leczniczych, Wyrobów Medycznych i Produktów Biobójczych z dnia 3 sierpnia 2021 r. w sprawie ogłoszenia Urzędowego Wykazu Produktów Leczniczych Dopuszczonych do Obrotu na terytorium Rzeczypospolitej Polskiej</w:t>
            </w:r>
          </w:p>
        </w:tc>
        <w:tc>
          <w:tcPr>
            <w:tcW w:w="2115" w:type="pct"/>
          </w:tcPr>
          <w:p w14:paraId="2AF9D981" w14:textId="77777777"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14:paraId="4E19EFD9" w14:textId="77777777" w:rsidR="00FF4AF3" w:rsidRPr="00F73B45" w:rsidRDefault="00FF4AF3" w:rsidP="00D067A4">
            <w:pPr>
              <w:jc w:val="center"/>
              <w:rPr>
                <w:rFonts w:ascii="Times New Roman" w:hAnsi="Times New Roman" w:cs="Times New Roman"/>
                <w:sz w:val="20"/>
                <w:szCs w:val="20"/>
              </w:rPr>
            </w:pPr>
          </w:p>
        </w:tc>
        <w:tc>
          <w:tcPr>
            <w:tcW w:w="1174" w:type="pct"/>
          </w:tcPr>
          <w:p w14:paraId="54132455" w14:textId="77777777" w:rsidR="00FF4AF3" w:rsidRPr="00F73B45" w:rsidRDefault="00A2741E" w:rsidP="000E1A81">
            <w:pPr>
              <w:rPr>
                <w:rFonts w:ascii="Times New Roman" w:hAnsi="Times New Roman" w:cs="Times New Roman"/>
                <w:sz w:val="20"/>
                <w:szCs w:val="20"/>
              </w:rPr>
            </w:pPr>
            <w:hyperlink r:id="rId143" w:history="1">
              <w:r w:rsidR="00FF4AF3" w:rsidRPr="00F73B45">
                <w:rPr>
                  <w:rStyle w:val="Hipercze"/>
                  <w:rFonts w:ascii="Times New Roman" w:hAnsi="Times New Roman" w:cs="Times New Roman"/>
                  <w:sz w:val="20"/>
                  <w:szCs w:val="20"/>
                </w:rPr>
                <w:t>Obwieszczenie (mz.gov.pl)</w:t>
              </w:r>
            </w:hyperlink>
          </w:p>
        </w:tc>
      </w:tr>
      <w:tr w:rsidR="00FF4AF3" w14:paraId="0C24B84B" w14:textId="77777777" w:rsidTr="00A506D2">
        <w:tc>
          <w:tcPr>
            <w:tcW w:w="352" w:type="pct"/>
          </w:tcPr>
          <w:p w14:paraId="42F0E86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2F0FCFF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CA93050"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14:paraId="51AF25C8"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474956C0"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14:paraId="6391EF92" w14:textId="77777777" w:rsidR="00FF4AF3" w:rsidRPr="00F73B45" w:rsidRDefault="00FF4AF3" w:rsidP="00F30DEC">
            <w:pPr>
              <w:jc w:val="center"/>
              <w:rPr>
                <w:rFonts w:ascii="Times New Roman" w:hAnsi="Times New Roman" w:cs="Times New Roman"/>
                <w:sz w:val="20"/>
                <w:szCs w:val="20"/>
              </w:rPr>
            </w:pPr>
          </w:p>
          <w:p w14:paraId="70A09C7D"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14:paraId="5CA04931" w14:textId="77777777" w:rsidR="00FF4AF3" w:rsidRPr="00F73B45" w:rsidRDefault="00A2741E" w:rsidP="000E1A81">
            <w:pPr>
              <w:rPr>
                <w:rFonts w:ascii="Times New Roman" w:hAnsi="Times New Roman" w:cs="Times New Roman"/>
                <w:sz w:val="20"/>
                <w:szCs w:val="20"/>
              </w:rPr>
            </w:pPr>
            <w:hyperlink r:id="rId144" w:history="1">
              <w:r w:rsidR="00FF4AF3" w:rsidRPr="00F73B45">
                <w:rPr>
                  <w:rStyle w:val="Hipercze"/>
                  <w:rFonts w:ascii="Times New Roman" w:hAnsi="Times New Roman" w:cs="Times New Roman"/>
                  <w:sz w:val="20"/>
                  <w:szCs w:val="20"/>
                </w:rPr>
                <w:t>https://sejm.gov.pl/Sejm9.nsf/druk.xsp?nr=1449</w:t>
              </w:r>
            </w:hyperlink>
          </w:p>
        </w:tc>
      </w:tr>
      <w:tr w:rsidR="00FF4AF3" w14:paraId="25630EED" w14:textId="77777777" w:rsidTr="00A506D2">
        <w:tc>
          <w:tcPr>
            <w:tcW w:w="352" w:type="pct"/>
          </w:tcPr>
          <w:p w14:paraId="77BEC06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6BE8213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434FD157"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14:paraId="681EC8A6"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14:paraId="0004848A"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14:paraId="485D5BC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14:paraId="4095C8BE"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14:paraId="4D42E941"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14:paraId="1AFB405A"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14:paraId="33E07917"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14:paraId="45922A44"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14:paraId="136C546A"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14:paraId="3DEF1497" w14:textId="77777777" w:rsidR="00FF4AF3" w:rsidRPr="00F73B45" w:rsidRDefault="00FF4AF3" w:rsidP="00F30DEC">
            <w:pPr>
              <w:jc w:val="center"/>
              <w:rPr>
                <w:rFonts w:ascii="Times New Roman" w:hAnsi="Times New Roman" w:cs="Times New Roman"/>
                <w:sz w:val="20"/>
                <w:szCs w:val="20"/>
              </w:rPr>
            </w:pPr>
          </w:p>
          <w:p w14:paraId="17F5B388"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14:paraId="47F5379B" w14:textId="77777777" w:rsidR="00FF4AF3" w:rsidRPr="00F73B45" w:rsidRDefault="00A2741E" w:rsidP="000E1A81">
            <w:pPr>
              <w:rPr>
                <w:rFonts w:ascii="Times New Roman" w:hAnsi="Times New Roman" w:cs="Times New Roman"/>
                <w:sz w:val="20"/>
                <w:szCs w:val="20"/>
              </w:rPr>
            </w:pPr>
            <w:hyperlink r:id="rId145" w:history="1">
              <w:r w:rsidR="00FF4AF3" w:rsidRPr="00F73B45">
                <w:rPr>
                  <w:rStyle w:val="Hipercze"/>
                  <w:rFonts w:ascii="Times New Roman" w:hAnsi="Times New Roman" w:cs="Times New Roman"/>
                  <w:sz w:val="20"/>
                  <w:szCs w:val="20"/>
                </w:rPr>
                <w:t>Zarządzenie (mz.gov.pl)</w:t>
              </w:r>
            </w:hyperlink>
          </w:p>
        </w:tc>
      </w:tr>
      <w:tr w:rsidR="00FF4AF3" w14:paraId="4490FEA0" w14:textId="77777777" w:rsidTr="00A506D2">
        <w:tc>
          <w:tcPr>
            <w:tcW w:w="352" w:type="pct"/>
          </w:tcPr>
          <w:p w14:paraId="644056D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14:paraId="1351420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2F5F46BC" w14:textId="77777777"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14:paraId="7529709D" w14:textId="77777777"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14:paraId="51D21A77"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14:paraId="044E2292" w14:textId="77777777" w:rsidR="00FF4AF3" w:rsidRPr="00F73B45" w:rsidRDefault="00A2741E" w:rsidP="000E1A81">
            <w:pPr>
              <w:rPr>
                <w:rFonts w:ascii="Times New Roman" w:hAnsi="Times New Roman" w:cs="Times New Roman"/>
                <w:sz w:val="20"/>
                <w:szCs w:val="20"/>
              </w:rPr>
            </w:pPr>
            <w:hyperlink r:id="rId146"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14:paraId="0028685B" w14:textId="77777777" w:rsidTr="00A506D2">
        <w:tc>
          <w:tcPr>
            <w:tcW w:w="352" w:type="pct"/>
          </w:tcPr>
          <w:p w14:paraId="098513D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5156350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733C5FC5" w14:textId="77777777"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14:paraId="6E3304CC" w14:textId="77777777"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364BE63E"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14:paraId="18CCB42A" w14:textId="77777777" w:rsidR="00FF4AF3" w:rsidRPr="00F73B45" w:rsidRDefault="00A2741E" w:rsidP="000E1A81">
            <w:pPr>
              <w:rPr>
                <w:rFonts w:ascii="Times New Roman" w:hAnsi="Times New Roman" w:cs="Times New Roman"/>
                <w:sz w:val="20"/>
                <w:szCs w:val="20"/>
              </w:rPr>
            </w:pPr>
            <w:hyperlink r:id="rId147"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14:paraId="240B50DB" w14:textId="77777777" w:rsidTr="00A506D2">
        <w:tc>
          <w:tcPr>
            <w:tcW w:w="352" w:type="pct"/>
          </w:tcPr>
          <w:p w14:paraId="29382E4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6B53E44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C6996DF"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14:paraId="49CD8E1A"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14:paraId="6DD151E9"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12404904" w14:textId="77777777" w:rsidR="00FF4AF3" w:rsidRPr="00F73B45" w:rsidRDefault="00FF4AF3" w:rsidP="00F30DEC">
            <w:pPr>
              <w:rPr>
                <w:rFonts w:ascii="Times New Roman" w:eastAsia="Times New Roman" w:hAnsi="Times New Roman" w:cs="Times New Roman"/>
                <w:sz w:val="20"/>
                <w:szCs w:val="20"/>
                <w:lang w:eastAsia="pl-PL"/>
              </w:rPr>
            </w:pPr>
          </w:p>
          <w:p w14:paraId="473DCB2F"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28A8B4C6"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II/III kwartał 2021 r.</w:t>
            </w:r>
          </w:p>
          <w:p w14:paraId="6B2BDC94" w14:textId="77777777" w:rsidR="00FF4AF3" w:rsidRPr="00F73B45" w:rsidRDefault="00FF4AF3" w:rsidP="00F30DEC">
            <w:pPr>
              <w:jc w:val="center"/>
              <w:rPr>
                <w:rFonts w:ascii="Times New Roman" w:hAnsi="Times New Roman" w:cs="Times New Roman"/>
                <w:sz w:val="20"/>
                <w:szCs w:val="20"/>
              </w:rPr>
            </w:pPr>
          </w:p>
          <w:p w14:paraId="0CBA1301"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48"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14:paraId="5977BCF1" w14:textId="77777777" w:rsidR="00FF4AF3" w:rsidRPr="00F73B45" w:rsidRDefault="00FF4AF3" w:rsidP="00F30DEC">
            <w:pPr>
              <w:rPr>
                <w:rFonts w:ascii="Times New Roman" w:hAnsi="Times New Roman" w:cs="Times New Roman"/>
                <w:b/>
                <w:sz w:val="20"/>
                <w:szCs w:val="20"/>
              </w:rPr>
            </w:pPr>
          </w:p>
          <w:p w14:paraId="61985080" w14:textId="77777777" w:rsidR="00FF4AF3" w:rsidRPr="00F73B45" w:rsidRDefault="00FF4AF3" w:rsidP="00F30DEC">
            <w:pPr>
              <w:rPr>
                <w:rFonts w:ascii="Times New Roman" w:hAnsi="Times New Roman" w:cs="Times New Roman"/>
                <w:sz w:val="20"/>
                <w:szCs w:val="20"/>
              </w:rPr>
            </w:pPr>
          </w:p>
          <w:p w14:paraId="2B552E5F" w14:textId="77777777" w:rsidR="00FF4AF3" w:rsidRPr="00F73B45" w:rsidRDefault="00FF4AF3" w:rsidP="00F30DEC">
            <w:pPr>
              <w:rPr>
                <w:rFonts w:ascii="Times New Roman" w:hAnsi="Times New Roman" w:cs="Times New Roman"/>
                <w:sz w:val="20"/>
                <w:szCs w:val="20"/>
              </w:rPr>
            </w:pPr>
          </w:p>
          <w:p w14:paraId="7DE0AD41" w14:textId="77777777" w:rsidR="00FF4AF3" w:rsidRPr="00F73B45" w:rsidRDefault="00FF4AF3" w:rsidP="00F30DEC">
            <w:pPr>
              <w:rPr>
                <w:rFonts w:ascii="Times New Roman" w:hAnsi="Times New Roman" w:cs="Times New Roman"/>
                <w:sz w:val="20"/>
                <w:szCs w:val="20"/>
              </w:rPr>
            </w:pPr>
          </w:p>
          <w:p w14:paraId="2F63800A" w14:textId="77777777" w:rsidR="00FF4AF3" w:rsidRPr="00F73B45" w:rsidRDefault="00FF4AF3" w:rsidP="00F30DEC">
            <w:pPr>
              <w:rPr>
                <w:rFonts w:ascii="Times New Roman" w:hAnsi="Times New Roman" w:cs="Times New Roman"/>
                <w:sz w:val="20"/>
                <w:szCs w:val="20"/>
              </w:rPr>
            </w:pPr>
          </w:p>
          <w:p w14:paraId="1733C8FE" w14:textId="77777777" w:rsidR="00FF4AF3" w:rsidRPr="00F73B45" w:rsidRDefault="00FF4AF3" w:rsidP="00F30DEC">
            <w:pPr>
              <w:rPr>
                <w:rFonts w:ascii="Times New Roman" w:hAnsi="Times New Roman" w:cs="Times New Roman"/>
                <w:sz w:val="20"/>
                <w:szCs w:val="20"/>
              </w:rPr>
            </w:pPr>
          </w:p>
          <w:p w14:paraId="38B26515" w14:textId="77777777" w:rsidR="00FF4AF3" w:rsidRPr="00F73B45" w:rsidRDefault="00FF4AF3" w:rsidP="00F30DEC">
            <w:pPr>
              <w:rPr>
                <w:rFonts w:ascii="Times New Roman" w:hAnsi="Times New Roman" w:cs="Times New Roman"/>
                <w:sz w:val="20"/>
                <w:szCs w:val="20"/>
              </w:rPr>
            </w:pPr>
          </w:p>
          <w:p w14:paraId="2EDCA1EF" w14:textId="77777777" w:rsidR="00FF4AF3" w:rsidRPr="00F73B45" w:rsidRDefault="00FF4AF3" w:rsidP="00F30DEC">
            <w:pPr>
              <w:rPr>
                <w:rFonts w:ascii="Times New Roman" w:hAnsi="Times New Roman" w:cs="Times New Roman"/>
                <w:sz w:val="20"/>
                <w:szCs w:val="20"/>
              </w:rPr>
            </w:pPr>
          </w:p>
          <w:p w14:paraId="613D165A" w14:textId="77777777" w:rsidR="00FF4AF3" w:rsidRPr="00F73B45" w:rsidRDefault="00FF4AF3" w:rsidP="00F30DEC">
            <w:pPr>
              <w:rPr>
                <w:rFonts w:ascii="Times New Roman" w:hAnsi="Times New Roman" w:cs="Times New Roman"/>
                <w:sz w:val="20"/>
                <w:szCs w:val="20"/>
              </w:rPr>
            </w:pPr>
          </w:p>
          <w:p w14:paraId="7F8F744D" w14:textId="77777777" w:rsidR="00FF4AF3" w:rsidRPr="00F73B45" w:rsidRDefault="00FF4AF3" w:rsidP="00F30DEC">
            <w:pPr>
              <w:rPr>
                <w:rFonts w:ascii="Times New Roman" w:hAnsi="Times New Roman" w:cs="Times New Roman"/>
                <w:sz w:val="20"/>
                <w:szCs w:val="20"/>
              </w:rPr>
            </w:pPr>
          </w:p>
          <w:p w14:paraId="3D6DA69C"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14:paraId="329D733B" w14:textId="77777777" w:rsidR="00FF4AF3" w:rsidRPr="00F73B45" w:rsidRDefault="00A2741E" w:rsidP="000E1A81">
            <w:pPr>
              <w:rPr>
                <w:rStyle w:val="Hipercze"/>
                <w:rFonts w:ascii="Times New Roman" w:hAnsi="Times New Roman" w:cs="Times New Roman"/>
                <w:sz w:val="20"/>
                <w:szCs w:val="20"/>
              </w:rPr>
            </w:pPr>
            <w:hyperlink r:id="rId149" w:history="1">
              <w:r w:rsidR="00FF4AF3" w:rsidRPr="00F73B45">
                <w:rPr>
                  <w:rStyle w:val="Hipercze"/>
                  <w:rFonts w:ascii="Times New Roman" w:hAnsi="Times New Roman" w:cs="Times New Roman"/>
                  <w:sz w:val="20"/>
                  <w:szCs w:val="20"/>
                </w:rPr>
                <w:t>Projekt (rcl.gov.pl)</w:t>
              </w:r>
            </w:hyperlink>
          </w:p>
          <w:p w14:paraId="5D5A7FFD" w14:textId="77777777" w:rsidR="00FF4AF3" w:rsidRPr="00F73B45" w:rsidRDefault="00FF4AF3" w:rsidP="000E1A81">
            <w:pPr>
              <w:rPr>
                <w:rStyle w:val="Hipercze"/>
                <w:rFonts w:ascii="Times New Roman" w:hAnsi="Times New Roman" w:cs="Times New Roman"/>
                <w:sz w:val="20"/>
                <w:szCs w:val="20"/>
              </w:rPr>
            </w:pPr>
          </w:p>
          <w:p w14:paraId="73ECF9C7" w14:textId="77777777" w:rsidR="00FF4AF3" w:rsidRPr="00F73B45" w:rsidRDefault="00FF4AF3" w:rsidP="000E1A81">
            <w:pPr>
              <w:rPr>
                <w:rStyle w:val="Hipercze"/>
                <w:rFonts w:ascii="Times New Roman" w:hAnsi="Times New Roman" w:cs="Times New Roman"/>
                <w:sz w:val="20"/>
                <w:szCs w:val="20"/>
              </w:rPr>
            </w:pPr>
          </w:p>
          <w:p w14:paraId="65374492" w14:textId="77777777" w:rsidR="00FF4AF3" w:rsidRPr="00F73B45" w:rsidRDefault="00FF4AF3" w:rsidP="000E1A81">
            <w:pPr>
              <w:rPr>
                <w:rStyle w:val="Hipercze"/>
                <w:rFonts w:ascii="Times New Roman" w:hAnsi="Times New Roman" w:cs="Times New Roman"/>
                <w:sz w:val="20"/>
                <w:szCs w:val="20"/>
              </w:rPr>
            </w:pPr>
          </w:p>
          <w:p w14:paraId="144E89DB" w14:textId="77777777" w:rsidR="00FF4AF3" w:rsidRPr="00F73B45" w:rsidRDefault="00A2741E" w:rsidP="000E1A81">
            <w:pPr>
              <w:rPr>
                <w:rFonts w:ascii="Times New Roman" w:hAnsi="Times New Roman" w:cs="Times New Roman"/>
                <w:sz w:val="20"/>
                <w:szCs w:val="20"/>
              </w:rPr>
            </w:pPr>
            <w:hyperlink r:id="rId150"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14:paraId="4B5552ED" w14:textId="77777777" w:rsidTr="00A506D2">
        <w:tc>
          <w:tcPr>
            <w:tcW w:w="352" w:type="pct"/>
          </w:tcPr>
          <w:p w14:paraId="6129A12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1518F6F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79C83839"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14:paraId="1121EDA1" w14:textId="77777777"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5DA5E3F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51"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14:paraId="4027A0EC" w14:textId="77777777" w:rsidR="00FF4AF3" w:rsidRPr="00F73B45" w:rsidRDefault="00A2741E" w:rsidP="000E1A81">
            <w:pPr>
              <w:rPr>
                <w:rFonts w:ascii="Times New Roman" w:hAnsi="Times New Roman" w:cs="Times New Roman"/>
                <w:sz w:val="20"/>
                <w:szCs w:val="20"/>
              </w:rPr>
            </w:pPr>
            <w:hyperlink r:id="rId152" w:history="1">
              <w:r w:rsidR="00FF4AF3" w:rsidRPr="00F73B45">
                <w:rPr>
                  <w:rStyle w:val="Hipercze"/>
                  <w:rFonts w:ascii="Times New Roman" w:hAnsi="Times New Roman" w:cs="Times New Roman"/>
                  <w:sz w:val="20"/>
                  <w:szCs w:val="20"/>
                </w:rPr>
                <w:t>Projekt (legislacja.gov.pl)</w:t>
              </w:r>
            </w:hyperlink>
          </w:p>
        </w:tc>
      </w:tr>
      <w:tr w:rsidR="00FF4AF3" w14:paraId="0B4378A4" w14:textId="77777777" w:rsidTr="00A506D2">
        <w:tc>
          <w:tcPr>
            <w:tcW w:w="352" w:type="pct"/>
          </w:tcPr>
          <w:p w14:paraId="235B3C1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7E1D311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40F05CE6" w14:textId="77777777"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0"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0"/>
          </w:p>
        </w:tc>
        <w:tc>
          <w:tcPr>
            <w:tcW w:w="2115" w:type="pct"/>
          </w:tcPr>
          <w:p w14:paraId="6028C9FB"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14:paraId="17D987A4" w14:textId="77777777" w:rsidR="00FF4AF3" w:rsidRPr="00F73B45" w:rsidRDefault="00FF4AF3" w:rsidP="000E1A81">
            <w:pPr>
              <w:rPr>
                <w:rFonts w:ascii="Times New Roman" w:hAnsi="Times New Roman" w:cs="Times New Roman"/>
                <w:sz w:val="20"/>
                <w:szCs w:val="20"/>
              </w:rPr>
            </w:pPr>
          </w:p>
        </w:tc>
        <w:tc>
          <w:tcPr>
            <w:tcW w:w="1174" w:type="pct"/>
          </w:tcPr>
          <w:p w14:paraId="0F354FCF" w14:textId="77777777" w:rsidR="00FF4AF3" w:rsidRPr="00F73B45" w:rsidRDefault="00A2741E" w:rsidP="000E1A81">
            <w:pPr>
              <w:rPr>
                <w:rFonts w:ascii="Times New Roman" w:hAnsi="Times New Roman" w:cs="Times New Roman"/>
                <w:sz w:val="20"/>
                <w:szCs w:val="20"/>
              </w:rPr>
            </w:pPr>
            <w:hyperlink r:id="rId153"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14:paraId="59CD212A" w14:textId="77777777" w:rsidTr="00A506D2">
        <w:tc>
          <w:tcPr>
            <w:tcW w:w="352" w:type="pct"/>
          </w:tcPr>
          <w:p w14:paraId="3677E72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30EB5FC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50C6B10F"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1"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1"/>
          </w:p>
        </w:tc>
        <w:tc>
          <w:tcPr>
            <w:tcW w:w="2115" w:type="pct"/>
          </w:tcPr>
          <w:p w14:paraId="71835CC5"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14:paraId="578AE6F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54"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14:paraId="06CBF6F1" w14:textId="77777777" w:rsidR="00FF4AF3" w:rsidRPr="00F73B45" w:rsidRDefault="00A2741E" w:rsidP="000E1A81">
            <w:pPr>
              <w:rPr>
                <w:rFonts w:ascii="Times New Roman" w:hAnsi="Times New Roman" w:cs="Times New Roman"/>
                <w:sz w:val="20"/>
                <w:szCs w:val="20"/>
              </w:rPr>
            </w:pPr>
            <w:hyperlink r:id="rId155" w:anchor="12806595" w:history="1">
              <w:r w:rsidR="00FF4AF3" w:rsidRPr="00F73B45">
                <w:rPr>
                  <w:rStyle w:val="Hipercze"/>
                  <w:rFonts w:ascii="Times New Roman" w:hAnsi="Times New Roman" w:cs="Times New Roman"/>
                  <w:sz w:val="20"/>
                  <w:szCs w:val="20"/>
                </w:rPr>
                <w:t>Projekt (rcl.gov.pl)</w:t>
              </w:r>
            </w:hyperlink>
          </w:p>
        </w:tc>
      </w:tr>
      <w:tr w:rsidR="00FF4AF3" w14:paraId="1F102F3B" w14:textId="77777777" w:rsidTr="00A506D2">
        <w:tc>
          <w:tcPr>
            <w:tcW w:w="352" w:type="pct"/>
          </w:tcPr>
          <w:p w14:paraId="2D7E292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BFD1E9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14:paraId="188BA93A"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2"/>
          </w:p>
        </w:tc>
        <w:tc>
          <w:tcPr>
            <w:tcW w:w="2115" w:type="pct"/>
          </w:tcPr>
          <w:p w14:paraId="40E7E126"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14:paraId="1AB548CC" w14:textId="77777777" w:rsidR="00FF4AF3" w:rsidRPr="00F73B45" w:rsidRDefault="00FF4AF3" w:rsidP="00FD7103">
            <w:pPr>
              <w:rPr>
                <w:rFonts w:ascii="Times New Roman" w:eastAsia="Times New Roman" w:hAnsi="Times New Roman" w:cs="Times New Roman"/>
                <w:sz w:val="20"/>
                <w:szCs w:val="20"/>
                <w:lang w:eastAsia="pl-PL"/>
              </w:rPr>
            </w:pPr>
          </w:p>
        </w:tc>
        <w:tc>
          <w:tcPr>
            <w:tcW w:w="448" w:type="pct"/>
          </w:tcPr>
          <w:p w14:paraId="37B6735B" w14:textId="77777777" w:rsidR="00FF4AF3" w:rsidRPr="00F73B45" w:rsidRDefault="00FF4AF3" w:rsidP="000E1A81">
            <w:pPr>
              <w:rPr>
                <w:rFonts w:ascii="Times New Roman" w:hAnsi="Times New Roman" w:cs="Times New Roman"/>
                <w:sz w:val="20"/>
                <w:szCs w:val="20"/>
              </w:rPr>
            </w:pPr>
          </w:p>
        </w:tc>
        <w:tc>
          <w:tcPr>
            <w:tcW w:w="1174" w:type="pct"/>
          </w:tcPr>
          <w:p w14:paraId="6D743B34" w14:textId="77777777" w:rsidR="00FF4AF3" w:rsidRPr="00F73B45" w:rsidRDefault="00A2741E" w:rsidP="000E1A81">
            <w:pPr>
              <w:rPr>
                <w:rFonts w:ascii="Times New Roman" w:hAnsi="Times New Roman" w:cs="Times New Roman"/>
                <w:sz w:val="20"/>
                <w:szCs w:val="20"/>
              </w:rPr>
            </w:pPr>
            <w:hyperlink r:id="rId156"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14:paraId="70E912A1" w14:textId="77777777" w:rsidTr="00A506D2">
        <w:tc>
          <w:tcPr>
            <w:tcW w:w="352" w:type="pct"/>
          </w:tcPr>
          <w:p w14:paraId="4AF0AF4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0E81A75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1EFC8474" w14:textId="77777777"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3"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3"/>
          </w:p>
        </w:tc>
        <w:tc>
          <w:tcPr>
            <w:tcW w:w="2115" w:type="pct"/>
          </w:tcPr>
          <w:p w14:paraId="5872083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29B1268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14:paraId="0C1FE402"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14:paraId="3E7AE7D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0C1CBEAF"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45CBED0E"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3B5215B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14:paraId="5718E3D4" w14:textId="77777777" w:rsidR="00FF4AF3" w:rsidRPr="00F73B45" w:rsidRDefault="00A2741E" w:rsidP="000E1A81">
            <w:pPr>
              <w:rPr>
                <w:rFonts w:ascii="Times New Roman" w:hAnsi="Times New Roman" w:cs="Times New Roman"/>
                <w:b/>
                <w:sz w:val="20"/>
                <w:szCs w:val="20"/>
              </w:rPr>
            </w:pPr>
            <w:hyperlink r:id="rId157"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14:paraId="39360AC4" w14:textId="77777777" w:rsidTr="00A506D2">
        <w:tc>
          <w:tcPr>
            <w:tcW w:w="352" w:type="pct"/>
          </w:tcPr>
          <w:p w14:paraId="387CA9C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218A9B9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D802807" w14:textId="77777777"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4"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4"/>
          </w:p>
        </w:tc>
        <w:tc>
          <w:tcPr>
            <w:tcW w:w="2115" w:type="pct"/>
          </w:tcPr>
          <w:p w14:paraId="188C808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612B17FA" w14:textId="77777777" w:rsidR="00FF4AF3" w:rsidRPr="00F73B45" w:rsidRDefault="00FF4AF3" w:rsidP="00D55C6A">
            <w:pPr>
              <w:rPr>
                <w:rFonts w:ascii="Times New Roman" w:eastAsia="Times New Roman" w:hAnsi="Times New Roman" w:cs="Times New Roman"/>
                <w:sz w:val="20"/>
                <w:szCs w:val="20"/>
                <w:lang w:eastAsia="pl-PL"/>
              </w:rPr>
            </w:pPr>
          </w:p>
          <w:p w14:paraId="4D43AB5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3811C496"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14:paraId="1CAF720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14:paraId="11B55D1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14:paraId="75C1153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14:paraId="0B56F0D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14:paraId="21621B49"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4BBD755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14:paraId="3E4A8E4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14:paraId="4D41ECB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752268D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441DDE52"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48E6C954"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58C677A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14:paraId="50EA11B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3EB6B2EF" w14:textId="77777777"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01FB54AB" w14:textId="77777777" w:rsidR="00FF4AF3" w:rsidRPr="00F73B45" w:rsidRDefault="00FF4AF3" w:rsidP="00EE139A">
            <w:pPr>
              <w:jc w:val="center"/>
              <w:rPr>
                <w:rFonts w:ascii="Times New Roman" w:hAnsi="Times New Roman" w:cs="Times New Roman"/>
                <w:sz w:val="20"/>
                <w:szCs w:val="20"/>
              </w:rPr>
            </w:pPr>
          </w:p>
          <w:p w14:paraId="21EBCF6F"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58"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14:paraId="6E81885A" w14:textId="77777777" w:rsidR="00FF4AF3" w:rsidRPr="00F73B45" w:rsidRDefault="00FF4AF3" w:rsidP="00D55C6A">
            <w:pPr>
              <w:jc w:val="center"/>
              <w:rPr>
                <w:rFonts w:ascii="Times New Roman" w:hAnsi="Times New Roman" w:cs="Times New Roman"/>
                <w:sz w:val="20"/>
                <w:szCs w:val="20"/>
              </w:rPr>
            </w:pPr>
          </w:p>
          <w:p w14:paraId="7A58C9EC"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59"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14:paraId="3B474BDC" w14:textId="77777777" w:rsidR="00FF4AF3" w:rsidRPr="00F73B45" w:rsidRDefault="00A2741E" w:rsidP="000E1A81">
            <w:pPr>
              <w:rPr>
                <w:rFonts w:ascii="Times New Roman" w:hAnsi="Times New Roman" w:cs="Times New Roman"/>
                <w:b/>
                <w:sz w:val="20"/>
                <w:szCs w:val="20"/>
              </w:rPr>
            </w:pPr>
            <w:hyperlink r:id="rId160" w:history="1">
              <w:r w:rsidR="00FF4AF3" w:rsidRPr="00F73B45">
                <w:rPr>
                  <w:rStyle w:val="Hipercze"/>
                  <w:rFonts w:ascii="Times New Roman" w:hAnsi="Times New Roman" w:cs="Times New Roman"/>
                  <w:sz w:val="20"/>
                  <w:szCs w:val="20"/>
                </w:rPr>
                <w:t>Projekt (rcl.gov.pl)</w:t>
              </w:r>
            </w:hyperlink>
          </w:p>
        </w:tc>
      </w:tr>
      <w:tr w:rsidR="00FF4AF3" w14:paraId="386965DC" w14:textId="77777777" w:rsidTr="00A506D2">
        <w:tc>
          <w:tcPr>
            <w:tcW w:w="352" w:type="pct"/>
          </w:tcPr>
          <w:p w14:paraId="6947E4D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062395B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1E33D731"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5"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5"/>
          </w:p>
        </w:tc>
        <w:tc>
          <w:tcPr>
            <w:tcW w:w="2115" w:type="pct"/>
          </w:tcPr>
          <w:p w14:paraId="45D32561" w14:textId="77777777"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14:paraId="504DC504" w14:textId="77777777"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14:paraId="528C0EEE" w14:textId="77777777"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14:paraId="6225B08D"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5AF3073C" w14:textId="77777777" w:rsidR="00FF4AF3" w:rsidRPr="00F73B45" w:rsidRDefault="00A2741E" w:rsidP="000E1A81">
            <w:pPr>
              <w:rPr>
                <w:rFonts w:ascii="Times New Roman" w:hAnsi="Times New Roman" w:cs="Times New Roman"/>
                <w:b/>
                <w:sz w:val="20"/>
                <w:szCs w:val="20"/>
              </w:rPr>
            </w:pPr>
            <w:hyperlink r:id="rId161"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14:paraId="38907D12" w14:textId="77777777" w:rsidTr="00A506D2">
        <w:tc>
          <w:tcPr>
            <w:tcW w:w="352" w:type="pct"/>
          </w:tcPr>
          <w:p w14:paraId="3E75735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3AD61F2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4375F981"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6"/>
          </w:p>
        </w:tc>
        <w:tc>
          <w:tcPr>
            <w:tcW w:w="2115" w:type="pct"/>
          </w:tcPr>
          <w:p w14:paraId="1FF197A4" w14:textId="77777777"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125336E3" w14:textId="77777777"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1D6D60CF" w14:textId="77777777"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08279D79" w14:textId="77777777"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72D0EE3D" w14:textId="77777777"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14:paraId="54509EB5" w14:textId="77777777"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14:paraId="33E56C08"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036E466D" w14:textId="77777777" w:rsidR="00FF4AF3" w:rsidRPr="00F73B45" w:rsidRDefault="00A2741E" w:rsidP="000E1A81">
            <w:pPr>
              <w:rPr>
                <w:rFonts w:ascii="Times New Roman" w:hAnsi="Times New Roman" w:cs="Times New Roman"/>
                <w:b/>
                <w:sz w:val="20"/>
                <w:szCs w:val="20"/>
              </w:rPr>
            </w:pPr>
            <w:hyperlink r:id="rId162"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14:paraId="1A1ADB3B" w14:textId="77777777" w:rsidR="00922EB4" w:rsidRDefault="000E1A81" w:rsidP="00692133">
      <w:pPr>
        <w:tabs>
          <w:tab w:val="left" w:pos="6360"/>
          <w:tab w:val="left" w:pos="8460"/>
        </w:tabs>
      </w:pPr>
      <w:r>
        <w:tab/>
      </w:r>
      <w:r w:rsidR="00692133">
        <w:tab/>
      </w:r>
    </w:p>
    <w:sectPr w:rsidR="00922EB4" w:rsidSect="00A506D2">
      <w:footerReference w:type="default" r:id="rId16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5A06" w14:textId="77777777" w:rsidR="00A2741E" w:rsidRDefault="00A2741E" w:rsidP="000E1A81">
      <w:pPr>
        <w:spacing w:after="0" w:line="240" w:lineRule="auto"/>
      </w:pPr>
      <w:r>
        <w:separator/>
      </w:r>
    </w:p>
  </w:endnote>
  <w:endnote w:type="continuationSeparator" w:id="0">
    <w:p w14:paraId="49CB4932" w14:textId="77777777" w:rsidR="00A2741E" w:rsidRDefault="00A2741E"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393EFB1F" w14:textId="77777777" w:rsidR="00777A1E" w:rsidRDefault="00777A1E">
        <w:pPr>
          <w:pStyle w:val="Stopka"/>
          <w:jc w:val="center"/>
        </w:pPr>
        <w:r>
          <w:fldChar w:fldCharType="begin"/>
        </w:r>
        <w:r>
          <w:instrText>PAGE   \* MERGEFORMAT</w:instrText>
        </w:r>
        <w:r>
          <w:fldChar w:fldCharType="separate"/>
        </w:r>
        <w:r w:rsidR="00CA1712">
          <w:rPr>
            <w:noProof/>
          </w:rPr>
          <w:t>2</w:t>
        </w:r>
        <w:r>
          <w:fldChar w:fldCharType="end"/>
        </w:r>
      </w:p>
    </w:sdtContent>
  </w:sdt>
  <w:p w14:paraId="4034AB8E" w14:textId="77777777" w:rsidR="00777A1E" w:rsidRDefault="00777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FE51" w14:textId="77777777" w:rsidR="00A2741E" w:rsidRDefault="00A2741E" w:rsidP="000E1A81">
      <w:pPr>
        <w:spacing w:after="0" w:line="240" w:lineRule="auto"/>
      </w:pPr>
      <w:r>
        <w:separator/>
      </w:r>
    </w:p>
  </w:footnote>
  <w:footnote w:type="continuationSeparator" w:id="0">
    <w:p w14:paraId="34608521" w14:textId="77777777" w:rsidR="00A2741E" w:rsidRDefault="00A2741E"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11548"/>
    <w:rsid w:val="00020328"/>
    <w:rsid w:val="000203D7"/>
    <w:rsid w:val="00023F5B"/>
    <w:rsid w:val="000330D6"/>
    <w:rsid w:val="000437FB"/>
    <w:rsid w:val="0009595E"/>
    <w:rsid w:val="000B0478"/>
    <w:rsid w:val="000E1A81"/>
    <w:rsid w:val="00112962"/>
    <w:rsid w:val="0012667B"/>
    <w:rsid w:val="001333F3"/>
    <w:rsid w:val="00144947"/>
    <w:rsid w:val="00144F6F"/>
    <w:rsid w:val="0014560B"/>
    <w:rsid w:val="00153064"/>
    <w:rsid w:val="00167409"/>
    <w:rsid w:val="00190E40"/>
    <w:rsid w:val="001B7E94"/>
    <w:rsid w:val="001C5979"/>
    <w:rsid w:val="001F65CF"/>
    <w:rsid w:val="00204EC6"/>
    <w:rsid w:val="002103C6"/>
    <w:rsid w:val="00211ED0"/>
    <w:rsid w:val="00212CCA"/>
    <w:rsid w:val="002314ED"/>
    <w:rsid w:val="00236005"/>
    <w:rsid w:val="00282CD2"/>
    <w:rsid w:val="00292EC2"/>
    <w:rsid w:val="0029746F"/>
    <w:rsid w:val="002A5F18"/>
    <w:rsid w:val="002A6F35"/>
    <w:rsid w:val="002B2476"/>
    <w:rsid w:val="002D1BDE"/>
    <w:rsid w:val="002D6BAA"/>
    <w:rsid w:val="002F6377"/>
    <w:rsid w:val="00300DD8"/>
    <w:rsid w:val="003013DB"/>
    <w:rsid w:val="003206B3"/>
    <w:rsid w:val="003244EF"/>
    <w:rsid w:val="003312C1"/>
    <w:rsid w:val="00340FC9"/>
    <w:rsid w:val="0034283B"/>
    <w:rsid w:val="003466C7"/>
    <w:rsid w:val="00374EA0"/>
    <w:rsid w:val="003906F8"/>
    <w:rsid w:val="0045122D"/>
    <w:rsid w:val="0045409D"/>
    <w:rsid w:val="0047713B"/>
    <w:rsid w:val="004B4717"/>
    <w:rsid w:val="004D7474"/>
    <w:rsid w:val="004D7BA5"/>
    <w:rsid w:val="004E13BD"/>
    <w:rsid w:val="004E5548"/>
    <w:rsid w:val="00503B55"/>
    <w:rsid w:val="00535A7D"/>
    <w:rsid w:val="0054537B"/>
    <w:rsid w:val="00567EC4"/>
    <w:rsid w:val="0057559D"/>
    <w:rsid w:val="005756DA"/>
    <w:rsid w:val="00591D0D"/>
    <w:rsid w:val="00596005"/>
    <w:rsid w:val="005A159B"/>
    <w:rsid w:val="005A325B"/>
    <w:rsid w:val="005C7BD2"/>
    <w:rsid w:val="005F3CBD"/>
    <w:rsid w:val="00604D3E"/>
    <w:rsid w:val="00616893"/>
    <w:rsid w:val="006249CE"/>
    <w:rsid w:val="0062591F"/>
    <w:rsid w:val="00635971"/>
    <w:rsid w:val="006459EE"/>
    <w:rsid w:val="00646CF9"/>
    <w:rsid w:val="00656203"/>
    <w:rsid w:val="00656BDD"/>
    <w:rsid w:val="006655F6"/>
    <w:rsid w:val="00671021"/>
    <w:rsid w:val="00692133"/>
    <w:rsid w:val="006B1B96"/>
    <w:rsid w:val="006C4963"/>
    <w:rsid w:val="006C55F5"/>
    <w:rsid w:val="006C7E2A"/>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6291E"/>
    <w:rsid w:val="0087573A"/>
    <w:rsid w:val="00885A22"/>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A06754"/>
    <w:rsid w:val="00A13DF2"/>
    <w:rsid w:val="00A2741E"/>
    <w:rsid w:val="00A506D2"/>
    <w:rsid w:val="00A85F1F"/>
    <w:rsid w:val="00A92460"/>
    <w:rsid w:val="00AF081F"/>
    <w:rsid w:val="00AF4D3B"/>
    <w:rsid w:val="00B1137E"/>
    <w:rsid w:val="00B328EA"/>
    <w:rsid w:val="00B32B4D"/>
    <w:rsid w:val="00B77D39"/>
    <w:rsid w:val="00B94A88"/>
    <w:rsid w:val="00B960CF"/>
    <w:rsid w:val="00BA16CB"/>
    <w:rsid w:val="00BA3D37"/>
    <w:rsid w:val="00BC2E4E"/>
    <w:rsid w:val="00BC6958"/>
    <w:rsid w:val="00BC6C26"/>
    <w:rsid w:val="00BD68AA"/>
    <w:rsid w:val="00C005FC"/>
    <w:rsid w:val="00C122F3"/>
    <w:rsid w:val="00C45420"/>
    <w:rsid w:val="00C85626"/>
    <w:rsid w:val="00CA1712"/>
    <w:rsid w:val="00CA76DC"/>
    <w:rsid w:val="00CC3A44"/>
    <w:rsid w:val="00CF1D93"/>
    <w:rsid w:val="00D01FD4"/>
    <w:rsid w:val="00D067A4"/>
    <w:rsid w:val="00D2765A"/>
    <w:rsid w:val="00D32862"/>
    <w:rsid w:val="00D44D04"/>
    <w:rsid w:val="00D55C6A"/>
    <w:rsid w:val="00D65071"/>
    <w:rsid w:val="00D720A8"/>
    <w:rsid w:val="00D73C1A"/>
    <w:rsid w:val="00D85424"/>
    <w:rsid w:val="00D94E96"/>
    <w:rsid w:val="00DA5215"/>
    <w:rsid w:val="00DB309D"/>
    <w:rsid w:val="00DB3B7E"/>
    <w:rsid w:val="00DC5468"/>
    <w:rsid w:val="00DE0865"/>
    <w:rsid w:val="00DE4438"/>
    <w:rsid w:val="00E17B5C"/>
    <w:rsid w:val="00E3101A"/>
    <w:rsid w:val="00E60205"/>
    <w:rsid w:val="00E63911"/>
    <w:rsid w:val="00E81945"/>
    <w:rsid w:val="00EA378A"/>
    <w:rsid w:val="00ED7D04"/>
    <w:rsid w:val="00EE139A"/>
    <w:rsid w:val="00EE4803"/>
    <w:rsid w:val="00EF1C6A"/>
    <w:rsid w:val="00F024DA"/>
    <w:rsid w:val="00F30DEC"/>
    <w:rsid w:val="00F73B45"/>
    <w:rsid w:val="00F75957"/>
    <w:rsid w:val="00F852CE"/>
    <w:rsid w:val="00F942C4"/>
    <w:rsid w:val="00FA5193"/>
    <w:rsid w:val="00FB336F"/>
    <w:rsid w:val="00FD4BE5"/>
    <w:rsid w:val="00FD7103"/>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4D62"/>
  <w15:docId w15:val="{2890D469-3A20-4C4A-B9B8-DFE4C28E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p@urpl.gov.pl" TargetMode="External"/><Relationship Id="rId21" Type="http://schemas.openxmlformats.org/officeDocument/2006/relationships/hyperlink" Target="https://www.nfz.gov.pl/zarzadzenia-prezesa/zarzadzenia-prezesa-nfz/zarzadzenie-nr-1672021dgl,7424.html" TargetMode="External"/><Relationship Id="rId42" Type="http://schemas.openxmlformats.org/officeDocument/2006/relationships/hyperlink" Target="https://legislacja.gov.pl/docs/3/12348352/12798644/12798645/dokument509766.pdf" TargetMode="External"/><Relationship Id="rId63" Type="http://schemas.openxmlformats.org/officeDocument/2006/relationships/hyperlink" Target="https://legislacja.gov.pl/docs/516/12350553/12811653/12811654/dokument518469.pdf" TargetMode="External"/><Relationship Id="rId84" Type="http://schemas.openxmlformats.org/officeDocument/2006/relationships/hyperlink" Target="http://dziennikmz.mz.gov.pl/DUM_MZ/2021/68/akt.pdf" TargetMode="External"/><Relationship Id="rId138" Type="http://schemas.openxmlformats.org/officeDocument/2006/relationships/hyperlink" Target="mailto:dep-zp@mz.gov.pl" TargetMode="External"/><Relationship Id="rId159" Type="http://schemas.openxmlformats.org/officeDocument/2006/relationships/hyperlink" Target="https://sip.lex.pl/" TargetMode="External"/><Relationship Id="rId107" Type="http://schemas.openxmlformats.org/officeDocument/2006/relationships/hyperlink" Target="https://legislacja.gov.pl/docs/516/12350900/12813008/12813009/dokument519444.pdf" TargetMode="External"/><Relationship Id="rId11" Type="http://schemas.openxmlformats.org/officeDocument/2006/relationships/hyperlink" Target="https://www.nfz.gov.pl/zarzadzenia-prezesa/zarzadzenia-prezesa-nfz/zarzadzenie-nr-1692021dsm,7426.html" TargetMode="External"/><Relationship Id="rId32" Type="http://schemas.openxmlformats.org/officeDocument/2006/relationships/hyperlink" Target="https://www.nfz.gov.pl/zarzadzenia-prezesa/projekty-zarzadzen/projekt-zarzadzenia-leczenie-szpitalne-swiadczenia-kompleksowe,6750.html" TargetMode="External"/><Relationship Id="rId53" Type="http://schemas.openxmlformats.org/officeDocument/2006/relationships/hyperlink" Target="https://dziennikustaw.gov.pl/D2021000177301.pdf" TargetMode="External"/><Relationship Id="rId74" Type="http://schemas.openxmlformats.org/officeDocument/2006/relationships/hyperlink" Target="https://www.nfz.gov.pl/zarzadzenia-prezesa/zarzadzenia-prezesa-nfz/zarzadzenie-nr-1512021dk,7410.html" TargetMode="External"/><Relationship Id="rId128" Type="http://schemas.openxmlformats.org/officeDocument/2006/relationships/hyperlink" Target="http://www.dziennikmz.mz.gov.pl/DUM_MZ/2021/59/akt.pdf" TargetMode="External"/><Relationship Id="rId149" Type="http://schemas.openxmlformats.org/officeDocument/2006/relationships/hyperlink" Target="https://legislacja.rcl.gov.pl/projekt/12348505" TargetMode="External"/><Relationship Id="rId5" Type="http://schemas.openxmlformats.org/officeDocument/2006/relationships/webSettings" Target="webSettings.xml"/><Relationship Id="rId95" Type="http://schemas.openxmlformats.org/officeDocument/2006/relationships/hyperlink" Target="https://legislacja.gov.pl/docs/516/12349100/12802858/12802859/dokument512931.pdf" TargetMode="External"/><Relationship Id="rId160" Type="http://schemas.openxmlformats.org/officeDocument/2006/relationships/hyperlink" Target="https://legislacja.rcl.gov.pl/projekt/12349305" TargetMode="External"/><Relationship Id="rId22" Type="http://schemas.openxmlformats.org/officeDocument/2006/relationships/hyperlink" Target="https://www.nfz.gov.pl/zarzadzenia-prezesa/zarzadzenia-prezesa-nfz/zarzadzenie-nr-1662021dsm,7423.html" TargetMode="External"/><Relationship Id="rId43" Type="http://schemas.openxmlformats.org/officeDocument/2006/relationships/hyperlink" Target="https://dziennikustaw.gov.pl/D2021000180401.pdf" TargetMode="External"/><Relationship Id="rId64" Type="http://schemas.openxmlformats.org/officeDocument/2006/relationships/hyperlink" Target="mailto:sekretariat.DSOZ@nfz.gov.pl" TargetMode="External"/><Relationship Id="rId118" Type="http://schemas.openxmlformats.org/officeDocument/2006/relationships/hyperlink" Target="https://legislacja.gov.pl/docs/2/12350254/12810530/12810531/dokument517580.pdf" TargetMode="External"/><Relationship Id="rId139" Type="http://schemas.openxmlformats.org/officeDocument/2006/relationships/hyperlink" Target="https://legislacja.gov.pl/docs/516/12349853/12808531/12808532/dokument516319.pdf" TargetMode="External"/><Relationship Id="rId85" Type="http://schemas.openxmlformats.org/officeDocument/2006/relationships/hyperlink" Target="http://dziennikmz.mz.gov.pl/DUM_MZ/2021/67/akt.pdf" TargetMode="External"/><Relationship Id="rId150" Type="http://schemas.openxmlformats.org/officeDocument/2006/relationships/hyperlink" Target="https://www.gov.pl/web/rpp/rop-dyskutuje-o-nowelizacji-ustawy-refundacyjnej" TargetMode="External"/><Relationship Id="rId12" Type="http://schemas.openxmlformats.org/officeDocument/2006/relationships/hyperlink" Target="mailto:dep-zp@mz.gov.pl" TargetMode="External"/><Relationship Id="rId17" Type="http://schemas.openxmlformats.org/officeDocument/2006/relationships/hyperlink" Target="https://legislacja.gov.pl/docs/516/12352251/12822156/12822157/dokument525259.pdf" TargetMode="External"/><Relationship Id="rId33" Type="http://schemas.openxmlformats.org/officeDocument/2006/relationships/hyperlink" Target="mailto:szpital.dsoz@nfz.gov.pl" TargetMode="External"/><Relationship Id="rId38" Type="http://schemas.openxmlformats.org/officeDocument/2006/relationships/hyperlink" Target="http://dziennikmz.mz.gov.pl/DUM_MZ/2021/78/akt.pdf" TargetMode="External"/><Relationship Id="rId59" Type="http://schemas.openxmlformats.org/officeDocument/2006/relationships/hyperlink" Target="https://legislacja.gov.pl/docs/516/12339055/12727183/12727184/dokument469275.pdf" TargetMode="External"/><Relationship Id="rId103" Type="http://schemas.openxmlformats.org/officeDocument/2006/relationships/hyperlink" Target="mailto:sekretariat.pr@gis.gov.pl" TargetMode="External"/><Relationship Id="rId108" Type="http://schemas.openxmlformats.org/officeDocument/2006/relationships/hyperlink" Target="https://legislacja.gov.pl/docs/516/12348801/12801345/12801346/dokument511725.pdf" TargetMode="External"/><Relationship Id="rId124" Type="http://schemas.openxmlformats.org/officeDocument/2006/relationships/hyperlink" Target="http://dziennikmz.mz.gov.pl/DUM_MZ/2021/61/akt.pdf" TargetMode="External"/><Relationship Id="rId129" Type="http://schemas.openxmlformats.org/officeDocument/2006/relationships/hyperlink" Target="https://dziennikustaw.gov.pl/D2021000146801.pdf" TargetMode="External"/><Relationship Id="rId54" Type="http://schemas.openxmlformats.org/officeDocument/2006/relationships/hyperlink" Target="https://dziennikustaw.gov.pl/D2021000176501.pdf" TargetMode="External"/><Relationship Id="rId70" Type="http://schemas.openxmlformats.org/officeDocument/2006/relationships/hyperlink" Target="https://www.nfz.gov.pl/zarzadzenia-prezesa/zarzadzenia-prezesa-nfz/zarzadzenie-nr-1542021di,7414.html" TargetMode="External"/><Relationship Id="rId75" Type="http://schemas.openxmlformats.org/officeDocument/2006/relationships/hyperlink" Target="https://www.nfz.gov.pl/zarzadzenia-prezesa/zarzadzenia-prezesa-nfz/zarzadzenie-nr-1492021dsoz,7409.html" TargetMode="External"/><Relationship Id="rId91" Type="http://schemas.openxmlformats.org/officeDocument/2006/relationships/hyperlink" Target="mailto:k.makowiecka@mz.gov.pl" TargetMode="External"/><Relationship Id="rId96" Type="http://schemas.openxmlformats.org/officeDocument/2006/relationships/hyperlink" Target="https://orka.sejm.gov.pl/Druki9ka.nsf/0/A2FBF300AB405A7CC12587510056AE4E/%24File/1569.pdf" TargetMode="External"/><Relationship Id="rId140" Type="http://schemas.openxmlformats.org/officeDocument/2006/relationships/hyperlink" Target="https://www.nfz.gov.pl/zarzadzenia-prezesa/zarzadzenia-prezesa-nfz/obwieszczenie-prezesa-nfz,7402.html" TargetMode="External"/><Relationship Id="rId145" Type="http://schemas.openxmlformats.org/officeDocument/2006/relationships/hyperlink" Target="http://dziennikmz.mz.gov.pl/DUM_MZ/2021/56/akt.pdf" TargetMode="External"/><Relationship Id="rId161"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sekretariat.dsoz@nfz.gov.pl" TargetMode="External"/><Relationship Id="rId28" Type="http://schemas.openxmlformats.org/officeDocument/2006/relationships/hyperlink" Target="https://legislacja.gov.pl/projekt/12349469" TargetMode="External"/><Relationship Id="rId49" Type="http://schemas.openxmlformats.org/officeDocument/2006/relationships/hyperlink" Target="https://www.nfz.gov.pl/zarzadzenia-prezesa/zarzadzenia-prezesa-nfz/zarzadzenie-nr-1602021dsoz,7420.html" TargetMode="External"/><Relationship Id="rId114" Type="http://schemas.openxmlformats.org/officeDocument/2006/relationships/hyperlink" Target="file:///C:\Users\m.tomczuk\Downloads\458.pdf" TargetMode="External"/><Relationship Id="rId119" Type="http://schemas.openxmlformats.org/officeDocument/2006/relationships/hyperlink" Target="mailto:uwagi.swiadczenia.gwarantowane@mz.gov.pl" TargetMode="External"/><Relationship Id="rId44" Type="http://schemas.openxmlformats.org/officeDocument/2006/relationships/hyperlink" Target="https://dziennikustaw.gov.pl/D2021000180101.pdf" TargetMode="External"/><Relationship Id="rId60" Type="http://schemas.openxmlformats.org/officeDocument/2006/relationships/hyperlink" Target="mailto:dep-pl@mz.gov.pl" TargetMode="External"/><Relationship Id="rId65" Type="http://schemas.openxmlformats.org/officeDocument/2006/relationships/hyperlink" Target="https://www.nfz.gov.pl/zarzadzenia-prezesa/projekty-zarzadzen/projekt-zarzadzenia-warunki-i-zawieranie-umow-opieka-paliatywna-i-hospicyjna,6744.html" TargetMode="External"/><Relationship Id="rId81" Type="http://schemas.openxmlformats.org/officeDocument/2006/relationships/hyperlink" Target="http://dziennikmz.mz.gov.pl/DUM_MZ/2021/71/akt.pdf" TargetMode="External"/><Relationship Id="rId86" Type="http://schemas.openxmlformats.org/officeDocument/2006/relationships/hyperlink" Target="https://dziennikustaw.gov.pl/D2021000169101.pdf" TargetMode="External"/><Relationship Id="rId130" Type="http://schemas.openxmlformats.org/officeDocument/2006/relationships/hyperlink" Target="https://www.nfz.gov.pl/zarzadzenia-prezesa/zarzadzenia-prezesa-nfz/zarzadzenie-nr-1432021def,7405.html" TargetMode="External"/><Relationship Id="rId135" Type="http://schemas.openxmlformats.org/officeDocument/2006/relationships/hyperlink" Target="https://www.senat.gov.pl/prace/druki/record,11468.html" TargetMode="External"/><Relationship Id="rId151" Type="http://schemas.openxmlformats.org/officeDocument/2006/relationships/hyperlink" Target="mailto:e.mianowska@mz.gov.pl" TargetMode="External"/><Relationship Id="rId156" Type="http://schemas.openxmlformats.org/officeDocument/2006/relationships/hyperlink" Target="https://www.gov.pl/web/zdrowie/komunikat-w-sprawie-zwrotow-szczepionek-przeciw-covid-19?fbclid=IwAR2zFoBAt11l8V5EA4fatbqVlDD3RwhEOskzyO1kmdA2RhJ6yH0ZOfcP948" TargetMode="External"/><Relationship Id="rId13" Type="http://schemas.openxmlformats.org/officeDocument/2006/relationships/hyperlink" Target="https://legislacja.gov.pl/docs/516/12352302/12822359/12822360/dokument525462.pdf" TargetMode="External"/><Relationship Id="rId18" Type="http://schemas.openxmlformats.org/officeDocument/2006/relationships/hyperlink" Target="https://orka.sejm.gov.pl/Druki9ka.nsf/0/1A91722CB974D5C9C1258751005B3334/%24File/1568.pdf" TargetMode="External"/><Relationship Id="rId39" Type="http://schemas.openxmlformats.org/officeDocument/2006/relationships/hyperlink" Target="http://dziennikmz.mz.gov.pl/DUM_MZ/2021/77/akt.pdf" TargetMode="External"/><Relationship Id="rId109" Type="http://schemas.openxmlformats.org/officeDocument/2006/relationships/hyperlink" Target="http://www.dziennikmz.mz.gov.pl/DUM_MZ/2021/67/akt.pdf" TargetMode="External"/><Relationship Id="rId34" Type="http://schemas.openxmlformats.org/officeDocument/2006/relationships/hyperlink" Target="https://www.nfz.gov.pl/zarzadzenia-prezesa/projekty-zarzadzen/projekt-zarzadzenia-umowy-o-udzielanie-onkologicznych-swiadczen-kompleksowych,6749.html" TargetMode="External"/><Relationship Id="rId50" Type="http://schemas.openxmlformats.org/officeDocument/2006/relationships/hyperlink" Target="https://www.nfz.gov.pl/zarzadzenia-prezesa/zarzadzenia-prezesa-nfz/zarzadzenie-nr-1592021dsoz,7419.html" TargetMode="External"/><Relationship Id="rId55" Type="http://schemas.openxmlformats.org/officeDocument/2006/relationships/hyperlink" Target="https://dziennikustaw.gov.pl/D2021000172701.pdf" TargetMode="External"/><Relationship Id="rId76" Type="http://schemas.openxmlformats.org/officeDocument/2006/relationships/hyperlink" Target="https://www.nfz.gov.pl/zarzadzenia-prezesa/zarzadzenia-prezesa-nfz/zarzadzenie-nr-1482021dsoz,7408.html" TargetMode="External"/><Relationship Id="rId97" Type="http://schemas.openxmlformats.org/officeDocument/2006/relationships/hyperlink" Target="mailto:m.cichowska@mz.gov.pl" TargetMode="External"/><Relationship Id="rId104" Type="http://schemas.openxmlformats.org/officeDocument/2006/relationships/hyperlink" Target="https://legislacja.gov.pl/docs/516/12345505/12778817/12778818/dokument498174.pdf" TargetMode="External"/><Relationship Id="rId120" Type="http://schemas.openxmlformats.org/officeDocument/2006/relationships/hyperlink" Target="https://legislacja.gov.pl/docs/516/12350255/12810588/12810589/dokument517613.pdf" TargetMode="External"/><Relationship Id="rId125" Type="http://schemas.openxmlformats.org/officeDocument/2006/relationships/hyperlink" Target="https://dziennikustaw.gov.pl/D2021000147601.pdf" TargetMode="External"/><Relationship Id="rId141" Type="http://schemas.openxmlformats.org/officeDocument/2006/relationships/hyperlink" Target="https://dziennikustaw.gov.pl/D2021000142101.pdf" TargetMode="External"/><Relationship Id="rId146" Type="http://schemas.openxmlformats.org/officeDocument/2006/relationships/hyperlink" Target="https://www.nfz.gov.pl/zarzadzenia-prezesa/zarzadzenia-prezesa-nfz/zarzadzenie-nr-1382021dsoz,7401.html" TargetMode="External"/><Relationship Id="rId7" Type="http://schemas.openxmlformats.org/officeDocument/2006/relationships/endnotes" Target="endnotes.xml"/><Relationship Id="rId71" Type="http://schemas.openxmlformats.org/officeDocument/2006/relationships/hyperlink" Target="https://www.nfz.gov.pl/zarzadzenia-prezesa/zarzadzenia-prezesa-nfz/zarzadzenie-nr-1522021dsoz,7413.html" TargetMode="External"/><Relationship Id="rId92" Type="http://schemas.openxmlformats.org/officeDocument/2006/relationships/hyperlink" Target="https://legislacja.gov.pl/docs/516/12351663/12818227/12818228/dokument522736.pdf" TargetMode="External"/><Relationship Id="rId162"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 Type="http://schemas.openxmlformats.org/officeDocument/2006/relationships/numbering" Target="numbering.xml"/><Relationship Id="rId29" Type="http://schemas.openxmlformats.org/officeDocument/2006/relationships/hyperlink" Target="https://legislacja.gov.pl/projekt/12347954/katalog/12795116" TargetMode="External"/><Relationship Id="rId24" Type="http://schemas.openxmlformats.org/officeDocument/2006/relationships/hyperlink" Target="https://www.nfz.gov.pl/zarzadzenia-prezesa/projekty-zarzadzen/projekt-zarzadzenia-program-pilotazowy-kos-bar,6751.html" TargetMode="External"/><Relationship Id="rId40" Type="http://schemas.openxmlformats.org/officeDocument/2006/relationships/hyperlink" Target="https://www.nfz.gov.pl/zarzadzenia-prezesa/zarzadzenia-prezesa-nfz/zarzadzenie-nr-1612021dsm,7421.html" TargetMode="External"/><Relationship Id="rId45" Type="http://schemas.openxmlformats.org/officeDocument/2006/relationships/hyperlink" Target="http://orka.sejm.gov.pl/Druki9ka.nsf/Projekty/9-020-143-2020/$file/9-020-143-2020.pdf" TargetMode="External"/><Relationship Id="rId66" Type="http://schemas.openxmlformats.org/officeDocument/2006/relationships/hyperlink" Target="mailto:szpital.dsoz@nfz.gov.pl" TargetMode="External"/><Relationship Id="rId87" Type="http://schemas.openxmlformats.org/officeDocument/2006/relationships/hyperlink" Target="https://dziennikustaw.gov.pl/D2021000168801.pdf" TargetMode="External"/><Relationship Id="rId110" Type="http://schemas.openxmlformats.org/officeDocument/2006/relationships/hyperlink" Target="http://www.dziennikmz.mz.gov.pl/DUM_MZ/2021/66/akt.pdf" TargetMode="External"/><Relationship Id="rId115" Type="http://schemas.openxmlformats.org/officeDocument/2006/relationships/hyperlink" Target="http://dziennikmz.mz.gov.pl/DUM_MZ/2021/63/akt.pdf" TargetMode="External"/><Relationship Id="rId131" Type="http://schemas.openxmlformats.org/officeDocument/2006/relationships/hyperlink" Target="https://www.nfz.gov.pl/zarzadzenia-prezesa/zarzadzenia-prezesa-nfz/zarzadzenie-nr-1422021def,7404.html" TargetMode="External"/><Relationship Id="rId136" Type="http://schemas.openxmlformats.org/officeDocument/2006/relationships/hyperlink" Target="https://dziennikustaw.gov.pl/D2021000142901.pdf" TargetMode="External"/><Relationship Id="rId157"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61" Type="http://schemas.openxmlformats.org/officeDocument/2006/relationships/hyperlink" Target="https://legislacja.gov.pl/docs/516/12351752/12819197/12819199/dokument523156.pdf" TargetMode="External"/><Relationship Id="rId82" Type="http://schemas.openxmlformats.org/officeDocument/2006/relationships/hyperlink" Target="http://dziennikmz.mz.gov.pl/DUM_MZ/2021/70/akt.pdf" TargetMode="External"/><Relationship Id="rId152" Type="http://schemas.openxmlformats.org/officeDocument/2006/relationships/hyperlink" Target="https://legislacja.gov.pl/projekt/12349604" TargetMode="External"/><Relationship Id="rId19" Type="http://schemas.openxmlformats.org/officeDocument/2006/relationships/hyperlink" Target="https://dziennikustaw.gov.pl/D2021000184901.pdf" TargetMode="External"/><Relationship Id="rId14" Type="http://schemas.openxmlformats.org/officeDocument/2006/relationships/hyperlink" Target="https://legislacja.gov.pl/docs/516/12345903/12781831/12781832/dokument499708.pdf" TargetMode="External"/><Relationship Id="rId30" Type="http://schemas.openxmlformats.org/officeDocument/2006/relationships/hyperlink" Target="https://orka.sejm.gov.pl/Druki9ka.nsf/0/12CB73CB71516BA7C12587680039DBE2/%24File/1631.pdf" TargetMode="External"/><Relationship Id="rId35" Type="http://schemas.openxmlformats.org/officeDocument/2006/relationships/hyperlink" Target="mailto:szpital.dsoz@nfz.gov.pl" TargetMode="External"/><Relationship Id="rId56" Type="http://schemas.openxmlformats.org/officeDocument/2006/relationships/hyperlink" Target="https://dziennikustaw.gov.pl/D2021000172501.pdf" TargetMode="External"/><Relationship Id="rId77" Type="http://schemas.openxmlformats.org/officeDocument/2006/relationships/hyperlink" Target="http://dziennikmz.mz.gov.pl/DUM_MZ/2021/76/akt.pdf" TargetMode="External"/><Relationship Id="rId100" Type="http://schemas.openxmlformats.org/officeDocument/2006/relationships/hyperlink" Target="https://legislacja.gov.pl/docs/516/12351156/12814725/12814726/dokument520555.pdf" TargetMode="External"/><Relationship Id="rId105" Type="http://schemas.openxmlformats.org/officeDocument/2006/relationships/hyperlink" Target="https://legislacja.gov.pl/docs/516/12346703/12787397/12787398/dokument502706.pdf" TargetMode="External"/><Relationship Id="rId126" Type="http://schemas.openxmlformats.org/officeDocument/2006/relationships/hyperlink" Target="mailto:dep-zp@mz.gov.pl" TargetMode="External"/><Relationship Id="rId147" Type="http://schemas.openxmlformats.org/officeDocument/2006/relationships/hyperlink" Target="https://www.nfz.gov.pl/zarzadzenia-prezesa/zarzadzenia-prezesa-nfz/zarzadzenie-nr-1372021dsoz,7400.html" TargetMode="External"/><Relationship Id="rId8" Type="http://schemas.openxmlformats.org/officeDocument/2006/relationships/hyperlink" Target="https://dziennikustaw.gov.pl/D2021000186201.pdf" TargetMode="External"/><Relationship Id="rId51" Type="http://schemas.openxmlformats.org/officeDocument/2006/relationships/hyperlink" Target="https://www.nfz.gov.pl/zarzadzenia-prezesa/zarzadzenia-prezesa-nfz/zarzadzenie-nr-1582021dsoz,7418.html" TargetMode="External"/><Relationship Id="rId72" Type="http://schemas.openxmlformats.org/officeDocument/2006/relationships/hyperlink" Target="https://www.nfz.gov.pl/zarzadzenia-prezesa/zarzadzenia-prezesa-nfz/zarzadzenie-nr-1622020dgl-tekst-ujednolicony,7412.html" TargetMode="External"/><Relationship Id="rId93" Type="http://schemas.openxmlformats.org/officeDocument/2006/relationships/hyperlink" Target="https://legislacja.gov.pl/docs/516/12349101/12802895/12802896/dokument512944.pdf" TargetMode="External"/><Relationship Id="rId98" Type="http://schemas.openxmlformats.org/officeDocument/2006/relationships/hyperlink" Target="https://legislacja.gov.pl/docs/516/12351201/12814901/12814902/dokument520656.pdf" TargetMode="External"/><Relationship Id="rId121" Type="http://schemas.openxmlformats.org/officeDocument/2006/relationships/hyperlink" Target="http://dziennikmz.mz.gov.pl/DUM_MZ/2021/62/akt.pdf" TargetMode="External"/><Relationship Id="rId142" Type="http://schemas.openxmlformats.org/officeDocument/2006/relationships/hyperlink" Target="https://dziennikustaw.gov.pl/D2021000142201.pdf"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dziennikustaw.gov.pl/D2021000183701.pdf" TargetMode="External"/><Relationship Id="rId46" Type="http://schemas.openxmlformats.org/officeDocument/2006/relationships/hyperlink" Target="https://dziennikustaw.gov.pl/D2021000177701.pdf" TargetMode="External"/><Relationship Id="rId67" Type="http://schemas.openxmlformats.org/officeDocument/2006/relationships/hyperlink" Target="https://www.nfz.gov.pl/zarzadzenia-prezesa/projekty-zarzadzen/projekt-zarzadzenia-leczenie-szpitalne-swiadczenia-wysokospecjalistyczne,6741.html" TargetMode="External"/><Relationship Id="rId116" Type="http://schemas.openxmlformats.org/officeDocument/2006/relationships/hyperlink" Target="https://dziennikustaw.gov.pl/D2021000151001.pdf" TargetMode="External"/><Relationship Id="rId137" Type="http://schemas.openxmlformats.org/officeDocument/2006/relationships/hyperlink" Target="http://dziennikmz.mz.gov.pl/DUM_MZ/2021/58/akt.pdf" TargetMode="External"/><Relationship Id="rId158" Type="http://schemas.openxmlformats.org/officeDocument/2006/relationships/hyperlink" Target="mailto:dep-dl@mz.gov.pl" TargetMode="External"/><Relationship Id="rId20" Type="http://schemas.openxmlformats.org/officeDocument/2006/relationships/hyperlink" Target="https://www.nfz.gov.pl/zarzadzenia-prezesa/zarzadzenia-prezesa-nfz/zarzadzenie-nr-1682021dsm,7425.html" TargetMode="External"/><Relationship Id="rId41" Type="http://schemas.openxmlformats.org/officeDocument/2006/relationships/hyperlink" Target="mailto:dep-as@mz.gov.pl" TargetMode="External"/><Relationship Id="rId62" Type="http://schemas.openxmlformats.org/officeDocument/2006/relationships/hyperlink" Target="mailto:sekretariat.pr@gis.gov.pl" TargetMode="External"/><Relationship Id="rId83" Type="http://schemas.openxmlformats.org/officeDocument/2006/relationships/hyperlink" Target="http://dziennikmz.mz.gov.pl/DUM_MZ/2021/69/akt.pdf" TargetMode="External"/><Relationship Id="rId88" Type="http://schemas.openxmlformats.org/officeDocument/2006/relationships/hyperlink" Target="https://dziennikustaw.gov.pl/D2021000159401.pdf" TargetMode="External"/><Relationship Id="rId111" Type="http://schemas.openxmlformats.org/officeDocument/2006/relationships/hyperlink" Target="http://dziennikmz.mz.gov.pl/DUM_MZ/2021/65/akt.pdf" TargetMode="External"/><Relationship Id="rId132" Type="http://schemas.openxmlformats.org/officeDocument/2006/relationships/hyperlink" Target="https://dziennikustaw.gov.pl/D2021000145801.pdf" TargetMode="External"/><Relationship Id="rId153" Type="http://schemas.openxmlformats.org/officeDocument/2006/relationships/hyperlink" Target="https://www.nfz.gov.pl/zarzadzenia-prezesa/zarzadzenia-prezesa-nfz/zarzadzenie-nr-1622020dgl-tekst-ujednolicony,7399.html" TargetMode="External"/><Relationship Id="rId15" Type="http://schemas.openxmlformats.org/officeDocument/2006/relationships/hyperlink" Target="https://dziennikustaw.gov.pl/D2021000185901.pdf" TargetMode="External"/><Relationship Id="rId36" Type="http://schemas.openxmlformats.org/officeDocument/2006/relationships/hyperlink" Target="https://www.nfz.gov.pl/zarzadzenia-prezesa/projekty-zarzadzen/projekt-zarzadzenia-leczenie-szpitalne-swiadczenia-wysokospecjalistyczne,6748.html" TargetMode="External"/><Relationship Id="rId57" Type="http://schemas.openxmlformats.org/officeDocument/2006/relationships/hyperlink" Target="https://dziennikustaw.gov.pl/D2021000172401.pdf" TargetMode="External"/><Relationship Id="rId106" Type="http://schemas.openxmlformats.org/officeDocument/2006/relationships/hyperlink" Target="mailto:dep-di@mz.gov.pl" TargetMode="External"/><Relationship Id="rId127" Type="http://schemas.openxmlformats.org/officeDocument/2006/relationships/hyperlink" Target="https://legislacja.gov.pl/docs/516/12350102/12809954/12809955/dokument517145.pdf" TargetMode="External"/><Relationship Id="rId10" Type="http://schemas.openxmlformats.org/officeDocument/2006/relationships/hyperlink" Target="https://www.nfz.gov.pl/zarzadzenia-prezesa/zarzadzenia-prezesa-nfz/zarzadzenie-nr-1702021bk,7427.html" TargetMode="External"/><Relationship Id="rId31" Type="http://schemas.openxmlformats.org/officeDocument/2006/relationships/hyperlink" Target="mailto:szpital.dsoz@nfz.gov.pl" TargetMode="External"/><Relationship Id="rId52" Type="http://schemas.openxmlformats.org/officeDocument/2006/relationships/hyperlink" Target="https://www.nfz.gov.pl/zarzadzenia-prezesa/zarzadzenia-prezesa-nfz/zarzadzenie-nr-1572021dsoz,7417.html" TargetMode="External"/><Relationship Id="rId73" Type="http://schemas.openxmlformats.org/officeDocument/2006/relationships/hyperlink" Target="https://www.nfz.gov.pl/zarzadzenia-prezesa/zarzadzenia-prezesa-nfz/zarzadzenie-nr-722021dgl-tekst-ujednolicony,7411.html" TargetMode="External"/><Relationship Id="rId78" Type="http://schemas.openxmlformats.org/officeDocument/2006/relationships/hyperlink" Target="http://dziennikmz.mz.gov.pl/DUM_MZ/2021/75/akt.pdf" TargetMode="External"/><Relationship Id="rId94" Type="http://schemas.openxmlformats.org/officeDocument/2006/relationships/hyperlink" Target="https://legislacja.gov.pl/docs/516/12351453/12816117/12816119/dokument521288.pdf" TargetMode="External"/><Relationship Id="rId99" Type="http://schemas.openxmlformats.org/officeDocument/2006/relationships/hyperlink" Target="mailto:dep-zp@mz.gov.pl" TargetMode="External"/><Relationship Id="rId101" Type="http://schemas.openxmlformats.org/officeDocument/2006/relationships/hyperlink" Target="mailto:sekretariat.pr@gis.gov.pl" TargetMode="External"/><Relationship Id="rId122" Type="http://schemas.openxmlformats.org/officeDocument/2006/relationships/hyperlink" Target="mailto:dep-zp@mz.gov.pl" TargetMode="External"/><Relationship Id="rId143" Type="http://schemas.openxmlformats.org/officeDocument/2006/relationships/hyperlink" Target="http://dziennikmz.mz.gov.pl/DUM_MZ/2021/57/akt.pdf" TargetMode="External"/><Relationship Id="rId148" Type="http://schemas.openxmlformats.org/officeDocument/2006/relationships/hyperlink" Target="mailto:dep-pl@mz.gov.pl"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fz.gov.pl/zarzadzenia-prezesa/zarzadzenia-prezesa-nfz/zarzadzenie-nr-1712021dgl,7428.html" TargetMode="External"/><Relationship Id="rId26" Type="http://schemas.openxmlformats.org/officeDocument/2006/relationships/hyperlink" Target="mailto:k.makowiecka@mz.gov.pl" TargetMode="External"/><Relationship Id="rId47"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68" Type="http://schemas.openxmlformats.org/officeDocument/2006/relationships/hyperlink" Target="https://www.nfz.gov.pl/zarzadzenia-prezesa/zarzadzenia-prezesa-nfz/zarzadzenie-nr-1562021dsoz,7416.html" TargetMode="External"/><Relationship Id="rId89" Type="http://schemas.openxmlformats.org/officeDocument/2006/relationships/hyperlink" Target="https://dziennikustaw.gov.pl/D2021000158101.pdf" TargetMode="External"/><Relationship Id="rId112" Type="http://schemas.openxmlformats.org/officeDocument/2006/relationships/hyperlink" Target="http://dziennikmz.mz.gov.pl/DUM_MZ/2021/64/akt.pdf" TargetMode="External"/><Relationship Id="rId133" Type="http://schemas.openxmlformats.org/officeDocument/2006/relationships/hyperlink" Target="https://orka.sejm.gov.pl/Druki9ka.nsf/0/1F3E2EAB9E74FD2DC125867900420CBA/%24File/927.pdf" TargetMode="External"/><Relationship Id="rId154" Type="http://schemas.openxmlformats.org/officeDocument/2006/relationships/hyperlink" Target="mailto:t.janus@mz.gov.pl" TargetMode="External"/><Relationship Id="rId16" Type="http://schemas.openxmlformats.org/officeDocument/2006/relationships/hyperlink" Target="mailto:dep-zp@mz.gov.pl" TargetMode="External"/><Relationship Id="rId37" Type="http://schemas.openxmlformats.org/officeDocument/2006/relationships/hyperlink" Target="https://www.nfz.gov.pl/zarzadzenia-prezesa/zarzadzenia-prezesa-nfz/zarzadzenie-nr-1642021dsoz,7422.html" TargetMode="External"/><Relationship Id="rId58" Type="http://schemas.openxmlformats.org/officeDocument/2006/relationships/hyperlink" Target="https://dziennikustaw.gov.pl/D2021000177101.pdf" TargetMode="External"/><Relationship Id="rId79" Type="http://schemas.openxmlformats.org/officeDocument/2006/relationships/hyperlink" Target="http://dziennikmz.mz.gov.pl/DUM_MZ/2021/74/akt.pdf" TargetMode="External"/><Relationship Id="rId102" Type="http://schemas.openxmlformats.org/officeDocument/2006/relationships/hyperlink" Target="https://legislacja.gov.pl/docs/516/12351102/12814258/12814259/dokument520247.pdf" TargetMode="External"/><Relationship Id="rId123" Type="http://schemas.openxmlformats.org/officeDocument/2006/relationships/hyperlink" Target="https://legislacja.gov.pl/projekt/12350200/katalog/12810152" TargetMode="External"/><Relationship Id="rId144" Type="http://schemas.openxmlformats.org/officeDocument/2006/relationships/hyperlink" Target="https://sejm.gov.pl/Sejm9.nsf/druk.xsp?nr=1449" TargetMode="External"/><Relationship Id="rId90" Type="http://schemas.openxmlformats.org/officeDocument/2006/relationships/hyperlink" Target="https://legislacja.gov.pl/projekt/12351668/katalog/12818482" TargetMode="External"/><Relationship Id="rId165" Type="http://schemas.openxmlformats.org/officeDocument/2006/relationships/theme" Target="theme/theme1.xml"/><Relationship Id="rId27" Type="http://schemas.openxmlformats.org/officeDocument/2006/relationships/hyperlink" Target="https://legislacja.gov.pl/docs/516/12352153/12821897/12821898/dokument524933.pdf" TargetMode="External"/><Relationship Id="rId48"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69" Type="http://schemas.openxmlformats.org/officeDocument/2006/relationships/hyperlink" Target="https://www.nfz.gov.pl/zarzadzenia-prezesa/zarzadzenia-prezesa-nfz/zarzadzenie-nr-1552021dsoz,7415.html" TargetMode="External"/><Relationship Id="rId113" Type="http://schemas.openxmlformats.org/officeDocument/2006/relationships/hyperlink" Target="https://www.nfz.gov.pl/zarzadzenia-prezesa/zarzadzenia-prezesa-nfz/zarzadzenie-nr-1452021gpf,7406.html" TargetMode="External"/><Relationship Id="rId134" Type="http://schemas.openxmlformats.org/officeDocument/2006/relationships/hyperlink" Target="https://dziennikustaw.gov.pl/D2021000144801.pdf" TargetMode="External"/><Relationship Id="rId80" Type="http://schemas.openxmlformats.org/officeDocument/2006/relationships/hyperlink" Target="http://dziennikmz.mz.gov.pl/DUM_MZ/2021/72/akt.pdf" TargetMode="External"/><Relationship Id="rId155" Type="http://schemas.openxmlformats.org/officeDocument/2006/relationships/hyperlink" Target="https://legislacja.rcl.gov.pl/projekt/12349551/katalog/1280659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7315-7A06-4025-B071-CB8C6B2F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44929</Words>
  <Characters>269574</Characters>
  <Application>Microsoft Office Word</Application>
  <DocSecurity>0</DocSecurity>
  <Lines>2246</Lines>
  <Paragraphs>627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2021-07-29T12:07:00Z</cp:lastPrinted>
  <dcterms:created xsi:type="dcterms:W3CDTF">2021-10-17T11:48:00Z</dcterms:created>
  <dcterms:modified xsi:type="dcterms:W3CDTF">2021-10-17T11:48:00Z</dcterms:modified>
</cp:coreProperties>
</file>