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A41A3" w14:textId="77777777" w:rsidR="005B3028" w:rsidRPr="00A84103" w:rsidRDefault="005B3028" w:rsidP="00187D0B">
      <w:pPr>
        <w:jc w:val="both"/>
        <w:rPr>
          <w:rFonts w:cs="Calibri"/>
          <w:sz w:val="24"/>
          <w:szCs w:val="24"/>
        </w:rPr>
      </w:pPr>
      <w:r w:rsidRPr="00A84103">
        <w:rPr>
          <w:rFonts w:cs="Calibri"/>
          <w:sz w:val="24"/>
          <w:szCs w:val="24"/>
        </w:rPr>
        <w:t xml:space="preserve">Warszawa, dnia </w:t>
      </w:r>
      <w:r w:rsidRPr="00A84103">
        <w:rPr>
          <w:sz w:val="24"/>
          <w:szCs w:val="24"/>
        </w:rPr>
        <w:t>26</w:t>
      </w:r>
      <w:r w:rsidRPr="00A84103">
        <w:rPr>
          <w:rFonts w:cs="Calibri"/>
          <w:sz w:val="24"/>
          <w:szCs w:val="24"/>
        </w:rPr>
        <w:t xml:space="preserve"> maja 2021 r.</w:t>
      </w:r>
    </w:p>
    <w:p w14:paraId="73150266" w14:textId="05BFE182" w:rsidR="005B3028" w:rsidRPr="00A84103" w:rsidRDefault="005B3028" w:rsidP="00187D0B">
      <w:pPr>
        <w:jc w:val="both"/>
        <w:rPr>
          <w:rFonts w:cs="Calibri"/>
          <w:sz w:val="24"/>
          <w:szCs w:val="24"/>
        </w:rPr>
      </w:pPr>
    </w:p>
    <w:p w14:paraId="2D3AF718" w14:textId="4A261668" w:rsidR="00187D0B" w:rsidRPr="00A84103" w:rsidRDefault="00187D0B" w:rsidP="00187D0B">
      <w:pPr>
        <w:jc w:val="both"/>
        <w:rPr>
          <w:rFonts w:cs="Calibri"/>
          <w:sz w:val="24"/>
          <w:szCs w:val="24"/>
        </w:rPr>
      </w:pPr>
    </w:p>
    <w:p w14:paraId="0809EA62" w14:textId="728C6CB1" w:rsidR="005B3028" w:rsidRPr="000F4278" w:rsidRDefault="000F4278" w:rsidP="00187D0B">
      <w:pPr>
        <w:jc w:val="both"/>
        <w:rPr>
          <w:rFonts w:cs="Calibri"/>
          <w:i/>
          <w:iCs/>
          <w:sz w:val="24"/>
          <w:szCs w:val="24"/>
        </w:rPr>
      </w:pPr>
      <w:r w:rsidRPr="000F4278">
        <w:rPr>
          <w:rFonts w:cs="Calibri"/>
          <w:i/>
          <w:iCs/>
          <w:sz w:val="24"/>
          <w:szCs w:val="24"/>
        </w:rPr>
        <w:t>O</w:t>
      </w:r>
      <w:r w:rsidR="00187D0B" w:rsidRPr="000F4278">
        <w:rPr>
          <w:rFonts w:cs="Calibri"/>
          <w:i/>
          <w:iCs/>
          <w:sz w:val="24"/>
          <w:szCs w:val="24"/>
        </w:rPr>
        <w:t>pini</w:t>
      </w:r>
      <w:r w:rsidRPr="000F4278">
        <w:rPr>
          <w:rFonts w:cs="Calibri"/>
          <w:i/>
          <w:iCs/>
          <w:sz w:val="24"/>
          <w:szCs w:val="24"/>
        </w:rPr>
        <w:t>a</w:t>
      </w:r>
      <w:r w:rsidR="00187D0B" w:rsidRPr="000F4278">
        <w:rPr>
          <w:rFonts w:cs="Calibri"/>
          <w:i/>
          <w:iCs/>
          <w:sz w:val="24"/>
          <w:szCs w:val="24"/>
        </w:rPr>
        <w:t xml:space="preserve"> prawn</w:t>
      </w:r>
      <w:r w:rsidRPr="000F4278">
        <w:rPr>
          <w:rFonts w:cs="Calibri"/>
          <w:i/>
          <w:iCs/>
          <w:sz w:val="24"/>
          <w:szCs w:val="24"/>
        </w:rPr>
        <w:t>a</w:t>
      </w:r>
      <w:r w:rsidR="00187D0B" w:rsidRPr="000F4278">
        <w:rPr>
          <w:rFonts w:cs="Calibri"/>
          <w:i/>
          <w:iCs/>
          <w:sz w:val="24"/>
          <w:szCs w:val="24"/>
        </w:rPr>
        <w:t xml:space="preserve"> </w:t>
      </w:r>
      <w:r w:rsidR="005B3028" w:rsidRPr="000F4278">
        <w:rPr>
          <w:rFonts w:cs="Calibri"/>
          <w:i/>
          <w:iCs/>
          <w:sz w:val="24"/>
          <w:szCs w:val="24"/>
        </w:rPr>
        <w:t xml:space="preserve">w sprawie skutków prawnych złożenia przez pielęgniarkę </w:t>
      </w:r>
      <w:r w:rsidR="005B3028" w:rsidRPr="000F4278">
        <w:rPr>
          <w:i/>
          <w:iCs/>
          <w:sz w:val="24"/>
          <w:szCs w:val="24"/>
        </w:rPr>
        <w:t>albo</w:t>
      </w:r>
      <w:r w:rsidR="005B3028" w:rsidRPr="000F4278">
        <w:rPr>
          <w:rFonts w:cs="Calibri"/>
          <w:i/>
          <w:iCs/>
          <w:sz w:val="24"/>
          <w:szCs w:val="24"/>
        </w:rPr>
        <w:t xml:space="preserve"> położną oświadczenia o zrzeczeniu się prawa wykonywania zawodu</w:t>
      </w:r>
      <w:r w:rsidR="005B3028" w:rsidRPr="000F4278">
        <w:rPr>
          <w:i/>
          <w:iCs/>
          <w:sz w:val="24"/>
          <w:szCs w:val="24"/>
        </w:rPr>
        <w:t xml:space="preserve"> oraz możliwości ponownego ubiegania się o jego przyznanie</w:t>
      </w:r>
      <w:r w:rsidRPr="000F4278">
        <w:rPr>
          <w:i/>
          <w:iCs/>
          <w:sz w:val="24"/>
          <w:szCs w:val="24"/>
        </w:rPr>
        <w:t>.</w:t>
      </w:r>
    </w:p>
    <w:p w14:paraId="7F7177A8" w14:textId="77777777" w:rsidR="005B3028" w:rsidRPr="00A84103" w:rsidRDefault="005B3028" w:rsidP="00187D0B">
      <w:pPr>
        <w:jc w:val="both"/>
        <w:rPr>
          <w:rFonts w:cs="Calibri"/>
          <w:sz w:val="24"/>
          <w:szCs w:val="24"/>
        </w:rPr>
      </w:pPr>
    </w:p>
    <w:p w14:paraId="3F0861DD" w14:textId="77777777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A84103">
        <w:rPr>
          <w:rFonts w:cs="Calibri"/>
          <w:sz w:val="24"/>
          <w:szCs w:val="24"/>
        </w:rPr>
        <w:t xml:space="preserve">Stosownie do postanowień art. 42 ust. 1 pkt 2 ustawy z dnia 15 lipca 20111 r. o zawodach pielęgniarki i położnej (Dz. U. 2021, </w:t>
      </w:r>
      <w:proofErr w:type="gramStart"/>
      <w:r w:rsidRPr="00A84103">
        <w:rPr>
          <w:rFonts w:cs="Calibri"/>
          <w:sz w:val="24"/>
          <w:szCs w:val="24"/>
        </w:rPr>
        <w:t>poz</w:t>
      </w:r>
      <w:proofErr w:type="gramEnd"/>
      <w:r w:rsidRPr="00A84103">
        <w:rPr>
          <w:rFonts w:cs="Calibri"/>
          <w:sz w:val="24"/>
          <w:szCs w:val="24"/>
        </w:rPr>
        <w:t xml:space="preserve">. 479 – </w:t>
      </w:r>
      <w:proofErr w:type="spellStart"/>
      <w:r w:rsidRPr="00A84103">
        <w:rPr>
          <w:rFonts w:cs="Calibri"/>
          <w:sz w:val="24"/>
          <w:szCs w:val="24"/>
        </w:rPr>
        <w:t>t.j</w:t>
      </w:r>
      <w:proofErr w:type="spellEnd"/>
      <w:r w:rsidRPr="00A84103">
        <w:rPr>
          <w:rFonts w:cs="Calibri"/>
          <w:sz w:val="24"/>
          <w:szCs w:val="24"/>
        </w:rPr>
        <w:t xml:space="preserve">.) prawo wykonywania zawodu albo ograniczone prawo wykonywania zawody wygasa w przypadku zrzeczenia się prawa wykonywania zawodu. </w:t>
      </w:r>
    </w:p>
    <w:p w14:paraId="3F9F429D" w14:textId="0D522D2D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A84103">
        <w:rPr>
          <w:rFonts w:cs="Calibri"/>
          <w:sz w:val="24"/>
          <w:szCs w:val="24"/>
        </w:rPr>
        <w:t xml:space="preserve">Zrzeczenie się prawa wykonywania zawodu następuje w formie oświadczenia woli pielęgniarki (pielęgniarza) </w:t>
      </w:r>
      <w:r w:rsidRPr="00A84103">
        <w:rPr>
          <w:sz w:val="24"/>
          <w:szCs w:val="24"/>
        </w:rPr>
        <w:t>albo</w:t>
      </w:r>
      <w:r w:rsidRPr="00A84103">
        <w:rPr>
          <w:rFonts w:cs="Calibri"/>
          <w:sz w:val="24"/>
          <w:szCs w:val="24"/>
        </w:rPr>
        <w:t xml:space="preserve"> położnej składanego do właściwej ze względu na miejsce wykonywania zawodu </w:t>
      </w:r>
      <w:r w:rsidRPr="00A84103">
        <w:rPr>
          <w:sz w:val="24"/>
          <w:szCs w:val="24"/>
        </w:rPr>
        <w:t>o</w:t>
      </w:r>
      <w:r w:rsidRPr="00A84103">
        <w:rPr>
          <w:rFonts w:cs="Calibri"/>
          <w:sz w:val="24"/>
          <w:szCs w:val="24"/>
        </w:rPr>
        <w:t xml:space="preserve">kręgowej </w:t>
      </w:r>
      <w:r w:rsidRPr="00A84103">
        <w:rPr>
          <w:sz w:val="24"/>
          <w:szCs w:val="24"/>
        </w:rPr>
        <w:t>r</w:t>
      </w:r>
      <w:r w:rsidRPr="00A84103">
        <w:rPr>
          <w:rFonts w:cs="Calibri"/>
          <w:sz w:val="24"/>
          <w:szCs w:val="24"/>
        </w:rPr>
        <w:t xml:space="preserve">ady </w:t>
      </w:r>
      <w:r w:rsidRPr="00A84103">
        <w:rPr>
          <w:sz w:val="24"/>
          <w:szCs w:val="24"/>
        </w:rPr>
        <w:t>p</w:t>
      </w:r>
      <w:r w:rsidRPr="00A84103">
        <w:rPr>
          <w:rFonts w:cs="Calibri"/>
          <w:sz w:val="24"/>
          <w:szCs w:val="24"/>
        </w:rPr>
        <w:t xml:space="preserve">ielęgniarek i </w:t>
      </w:r>
      <w:r w:rsidRPr="00A84103">
        <w:rPr>
          <w:sz w:val="24"/>
          <w:szCs w:val="24"/>
        </w:rPr>
        <w:t>p</w:t>
      </w:r>
      <w:r w:rsidRPr="00A84103">
        <w:rPr>
          <w:rFonts w:cs="Calibri"/>
          <w:sz w:val="24"/>
          <w:szCs w:val="24"/>
        </w:rPr>
        <w:t>ołożnych. Przepisy ustawy o zawodach nie określają trybu, w jakim powinno nastąpić zrzeczenie</w:t>
      </w:r>
      <w:r w:rsidR="00187D0B" w:rsidRPr="00A84103">
        <w:rPr>
          <w:rFonts w:cs="Calibri"/>
          <w:sz w:val="24"/>
          <w:szCs w:val="24"/>
        </w:rPr>
        <w:t xml:space="preserve">. W związku z powyższym </w:t>
      </w:r>
      <w:r w:rsidRPr="00A84103">
        <w:rPr>
          <w:rFonts w:cs="Calibri"/>
          <w:sz w:val="24"/>
          <w:szCs w:val="24"/>
        </w:rPr>
        <w:t xml:space="preserve">należy </w:t>
      </w:r>
      <w:r w:rsidR="00187D0B" w:rsidRPr="00A84103">
        <w:rPr>
          <w:rFonts w:cs="Calibri"/>
          <w:sz w:val="24"/>
          <w:szCs w:val="24"/>
        </w:rPr>
        <w:t>w tym przypadku</w:t>
      </w:r>
      <w:r w:rsidRPr="00A84103">
        <w:rPr>
          <w:rFonts w:cs="Calibri"/>
          <w:sz w:val="24"/>
          <w:szCs w:val="24"/>
        </w:rPr>
        <w:t xml:space="preserve"> stosować ogólne zasady dotyczące składania oświadczeń woli wynikające z art. 60 i nast. Kodeksu cywilnego (k.c.).</w:t>
      </w:r>
      <w:r w:rsidR="00187D0B" w:rsidRPr="00A84103">
        <w:rPr>
          <w:rFonts w:cs="Calibri"/>
          <w:sz w:val="24"/>
          <w:szCs w:val="24"/>
        </w:rPr>
        <w:t xml:space="preserve"> </w:t>
      </w:r>
    </w:p>
    <w:p w14:paraId="5BCB4704" w14:textId="69AF4FE8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A84103">
        <w:rPr>
          <w:rFonts w:cs="Calibri"/>
          <w:sz w:val="24"/>
          <w:szCs w:val="24"/>
        </w:rPr>
        <w:t xml:space="preserve">I tak, stosownie do postanowień art. 60 k.c.  </w:t>
      </w:r>
      <w:proofErr w:type="gramStart"/>
      <w:r w:rsidRPr="00A84103">
        <w:rPr>
          <w:rFonts w:cs="Calibri"/>
          <w:sz w:val="24"/>
          <w:szCs w:val="24"/>
        </w:rPr>
        <w:t>z</w:t>
      </w:r>
      <w:proofErr w:type="gramEnd"/>
      <w:r w:rsidRPr="00A84103">
        <w:rPr>
          <w:rFonts w:cs="Calibri"/>
          <w:sz w:val="24"/>
          <w:szCs w:val="24"/>
        </w:rPr>
        <w:t xml:space="preserve"> 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zastrzeżeniem wyjątków w ustawie przewidzianych, wola osoby dokonującej czynności prawnej może być wyrażona przez każde zachowanie się tej osoby, które ujawnia jej wolę w sposób dostateczny, w tym również przez ujawnienie tej woli w postaci elektronicznej. </w:t>
      </w:r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>W konsekwencji powyższego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należy przyjąć, że oświadczenie o zrzeczeniu się prawa wykonywania zawodu może nastąpić w dowolnej formie (np. ustnej, pisemnej, elektronicznej), oczywiście pod warunkiem, że możliwa będzie nie tylko rzetelna identyfikacja osoby składającej oświadczenie, ale i treść samego oświadczenia nie będzie pozostawiać wątpliwości. </w:t>
      </w:r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Mając na uwadze nie tylko </w:t>
      </w:r>
      <w:r w:rsidR="00B101A2" w:rsidRPr="00A84103">
        <w:rPr>
          <w:rFonts w:cs="Calibri"/>
          <w:color w:val="333333"/>
          <w:sz w:val="24"/>
          <w:szCs w:val="24"/>
          <w:shd w:val="clear" w:color="auto" w:fill="FFFFFF"/>
        </w:rPr>
        <w:t>specyfikę,</w:t>
      </w:r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ale</w:t>
      </w:r>
      <w:r w:rsidR="00B101A2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i</w:t>
      </w:r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doniosłość prawną oświadczenia o zrzeczeniu się prawa wykonywania zawodu pielęgniarki albo położnej, </w:t>
      </w:r>
      <w:r w:rsidR="00B101A2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dla celów dowodowych </w:t>
      </w:r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>rekomendowan</w:t>
      </w:r>
      <w:r w:rsidR="00B101A2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ą formą złożenia oświadczenia jest forma pisemna. </w:t>
      </w:r>
    </w:p>
    <w:p w14:paraId="10D2A9BA" w14:textId="5B77980D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Zgodnie z art. 61 § 1 k.c. </w:t>
      </w:r>
      <w:proofErr w:type="gramStart"/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>o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>świadczenie</w:t>
      </w:r>
      <w:proofErr w:type="gramEnd"/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woli, które ma być złożone innej osobie, jest złożone z chwilą, gdy doszło do niej w taki sposób, że mogła zapoznać się z jego treścią. Z kolei oświadczenie woli wyrażone w postaci elektronicznej jest złożone innej osobie z chwilą, gdy wprowadzono je do środka komunikacji elektronicznej w taki sposób, żeby osoba ta mogła zapoznać się z jego treścią (§2). Powyższe oznacza, że zrzeczenie prawa wykonywania zawodu staje się skuteczne z chwilą, gdy zostało skutecznie doręczone adresatowi. Adresatem oświadczenia o zrzeczeniu się prawa wykonywania zawodu winna być właściwa miejscowo okręgowa rada pielęgniarek i położonych. Mając na uwadze, że jest to organ wyposażony w ustawową kompetencję do przyznawania prawa wykonywania zawodu (art. 37 ust. 1 ustawy o zawodach), uznać należy, że organ ten 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lastRenderedPageBreak/>
        <w:t xml:space="preserve">winien być </w:t>
      </w:r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również 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adresatem oświadczenia woli skutkującego wygaśnięciem prawa wykonywania zawodu. </w:t>
      </w:r>
    </w:p>
    <w:p w14:paraId="7CC5FC3D" w14:textId="17941D0E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W tym miejscu </w:t>
      </w:r>
      <w:r w:rsidR="00187D0B" w:rsidRPr="00A84103">
        <w:rPr>
          <w:rFonts w:cs="Calibri"/>
          <w:color w:val="333333"/>
          <w:sz w:val="24"/>
          <w:szCs w:val="24"/>
          <w:shd w:val="clear" w:color="auto" w:fill="FFFFFF"/>
        </w:rPr>
        <w:t>warto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zwrócić uwagę na kwestię dopuszczalności odwołania, czy też „cofnięcia” oświadczenia o zrzeczeniu się prawa wykonywania zawodu. Otóż, zgodnie z art. 61 § 1 zdanie drugie k.c. </w:t>
      </w:r>
      <w:proofErr w:type="gramStart"/>
      <w:r w:rsidRPr="00A84103">
        <w:rPr>
          <w:rFonts w:cs="Calibri"/>
          <w:color w:val="333333"/>
          <w:sz w:val="24"/>
          <w:szCs w:val="24"/>
          <w:shd w:val="clear" w:color="auto" w:fill="FFFFFF"/>
        </w:rPr>
        <w:t>odwołanie</w:t>
      </w:r>
      <w:proofErr w:type="gramEnd"/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takiego oświadczenia jest skuteczne, jeżeli doszło jednocześnie z tym oświadczeniem </w:t>
      </w:r>
      <w:r w:rsidRPr="00A84103">
        <w:rPr>
          <w:color w:val="333333"/>
          <w:sz w:val="24"/>
          <w:szCs w:val="24"/>
          <w:shd w:val="clear" w:color="auto" w:fill="FFFFFF"/>
        </w:rPr>
        <w:t>albo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wcześniej. Innymi słowy, z chwilą, gdy oświadczenie o zrzeczeniu się prawa wykonywania zawodu zostanie skutecznie doręczone (niezależnie od formy doręczenia) do właściwej okręgowej rady, jego odwołanie będzie niemożliwe, a ewentualne próby „cofnięcia” oświadczenia będą prawnie nieskuteczne.</w:t>
      </w:r>
    </w:p>
    <w:p w14:paraId="526AAECA" w14:textId="77777777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W świetle postanowień art. 42 ust. 1 pkt 2 ustawy o zawodach złożenie oświadczenia o zrzeczeniu się prawa wykonywania zawodu wywołuje skutek w postaci wygaśnięcia tego prawa. Należy przy tym podkreślić, że skutek ten następuje </w:t>
      </w:r>
      <w:r w:rsidRPr="00A84103">
        <w:rPr>
          <w:rFonts w:cs="Calibri"/>
          <w:i/>
          <w:iCs/>
          <w:color w:val="333333"/>
          <w:sz w:val="24"/>
          <w:szCs w:val="24"/>
          <w:shd w:val="clear" w:color="auto" w:fill="FFFFFF"/>
        </w:rPr>
        <w:t>ex lege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, bez konieczności dokonywania przez organ jakichkolwiek dodatkowych czynności (np. w postaci zgody na zrzeczenie). </w:t>
      </w:r>
    </w:p>
    <w:p w14:paraId="61C05452" w14:textId="52603168" w:rsidR="005B3028" w:rsidRPr="00A84103" w:rsidRDefault="00187D0B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rFonts w:cs="Calibri"/>
          <w:color w:val="333333"/>
          <w:sz w:val="24"/>
          <w:szCs w:val="24"/>
          <w:shd w:val="clear" w:color="auto" w:fill="FFFFFF"/>
        </w:rPr>
      </w:pPr>
      <w:r w:rsidRPr="00A84103">
        <w:rPr>
          <w:rFonts w:cs="Calibri"/>
          <w:color w:val="333333"/>
          <w:sz w:val="24"/>
          <w:szCs w:val="24"/>
          <w:shd w:val="clear" w:color="auto" w:fill="FFFFFF"/>
        </w:rPr>
        <w:t>W mojej ocenie w</w:t>
      </w:r>
      <w:r w:rsidR="005B3028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ygaśnięcie prawa wykonywania zawodu 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>powinno</w:t>
      </w:r>
      <w:r w:rsidR="005B3028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zostać stwierdzone uchwałą właściwej okręgowej rady pielęgniarek i położnych</w:t>
      </w:r>
      <w:r w:rsidR="008F7242">
        <w:rPr>
          <w:rFonts w:cs="Calibri"/>
          <w:color w:val="333333"/>
          <w:sz w:val="24"/>
          <w:szCs w:val="24"/>
          <w:shd w:val="clear" w:color="auto" w:fill="FFFFFF"/>
        </w:rPr>
        <w:t>, zgodnie z art. 31 pkt 2 ustawy z dnia 1 lipca 2011 r. o samorządzie pielęgniarek i położnych</w:t>
      </w:r>
      <w:r w:rsidR="008F7242">
        <w:rPr>
          <w:rFonts w:cs="Calibri"/>
          <w:color w:val="333333"/>
          <w:sz w:val="24"/>
          <w:szCs w:val="24"/>
          <w:shd w:val="clear" w:color="auto" w:fill="FFFFFF"/>
        </w:rPr>
        <w:tab/>
        <w:t xml:space="preserve">w zw. z art. 37 ust. 1 </w:t>
      </w:r>
      <w:r w:rsidR="00B618CB">
        <w:rPr>
          <w:rFonts w:cs="Calibri"/>
          <w:color w:val="333333"/>
          <w:sz w:val="24"/>
          <w:szCs w:val="24"/>
          <w:shd w:val="clear" w:color="auto" w:fill="FFFFFF"/>
        </w:rPr>
        <w:t>ustawy</w:t>
      </w:r>
      <w:r w:rsidR="008F7242">
        <w:rPr>
          <w:rFonts w:cs="Calibri"/>
          <w:color w:val="333333"/>
          <w:sz w:val="24"/>
          <w:szCs w:val="24"/>
          <w:shd w:val="clear" w:color="auto" w:fill="FFFFFF"/>
        </w:rPr>
        <w:t xml:space="preserve"> o zawodach</w:t>
      </w:r>
      <w:r w:rsidR="005B3028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. </w:t>
      </w:r>
      <w:r w:rsidR="008F7242">
        <w:rPr>
          <w:rFonts w:cs="Calibri"/>
          <w:color w:val="333333"/>
          <w:sz w:val="24"/>
          <w:szCs w:val="24"/>
          <w:shd w:val="clear" w:color="auto" w:fill="FFFFFF"/>
        </w:rPr>
        <w:t>Podkreślenia jednakże wymaga, że</w:t>
      </w:r>
      <w:r w:rsidR="005B3028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uchwała stwierdzająca wygaśnięcie tego prawa ma wyłącznie charakter deklaratoryjny. </w:t>
      </w:r>
    </w:p>
    <w:p w14:paraId="2A6FBEEF" w14:textId="49020AF4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color w:val="333333"/>
          <w:sz w:val="24"/>
          <w:szCs w:val="24"/>
          <w:shd w:val="clear" w:color="auto" w:fill="FFFFFF"/>
        </w:rPr>
      </w:pPr>
      <w:r w:rsidRPr="00A84103">
        <w:rPr>
          <w:rFonts w:cs="Calibri"/>
          <w:color w:val="333333"/>
          <w:sz w:val="24"/>
          <w:szCs w:val="24"/>
          <w:shd w:val="clear" w:color="auto" w:fill="FFFFFF"/>
        </w:rPr>
        <w:t>Konsekwencją wygaśnięcia prawa wykonywania zawodu jest konieczność dokonania stosownego wpisu w Centralnym Rejestrze Pielęgniarek i Położnych</w:t>
      </w:r>
      <w:r w:rsidRPr="00A84103">
        <w:rPr>
          <w:color w:val="333333"/>
          <w:sz w:val="24"/>
          <w:szCs w:val="24"/>
          <w:shd w:val="clear" w:color="auto" w:fill="FFFFFF"/>
        </w:rPr>
        <w:t xml:space="preserve"> oraz </w:t>
      </w:r>
      <w:r w:rsidR="00B618CB">
        <w:rPr>
          <w:color w:val="333333"/>
          <w:sz w:val="24"/>
          <w:szCs w:val="24"/>
          <w:shd w:val="clear" w:color="auto" w:fill="FFFFFF"/>
        </w:rPr>
        <w:t>rejestrze</w:t>
      </w:r>
      <w:r w:rsidRPr="00A84103">
        <w:rPr>
          <w:color w:val="333333"/>
          <w:sz w:val="24"/>
          <w:szCs w:val="24"/>
          <w:shd w:val="clear" w:color="auto" w:fill="FFFFFF"/>
        </w:rPr>
        <w:t xml:space="preserve"> pielęgniarek i położnych prowadzony</w:t>
      </w:r>
      <w:r w:rsidR="00B618CB">
        <w:rPr>
          <w:color w:val="333333"/>
          <w:sz w:val="24"/>
          <w:szCs w:val="24"/>
          <w:shd w:val="clear" w:color="auto" w:fill="FFFFFF"/>
        </w:rPr>
        <w:t>m</w:t>
      </w:r>
      <w:r w:rsidRPr="00A84103">
        <w:rPr>
          <w:color w:val="333333"/>
          <w:sz w:val="24"/>
          <w:szCs w:val="24"/>
          <w:shd w:val="clear" w:color="auto" w:fill="FFFFFF"/>
        </w:rPr>
        <w:t xml:space="preserve"> przez okręgow</w:t>
      </w:r>
      <w:r w:rsidR="00B618CB">
        <w:rPr>
          <w:color w:val="333333"/>
          <w:sz w:val="24"/>
          <w:szCs w:val="24"/>
          <w:shd w:val="clear" w:color="auto" w:fill="FFFFFF"/>
        </w:rPr>
        <w:t>ą</w:t>
      </w:r>
      <w:r w:rsidRPr="00A84103">
        <w:rPr>
          <w:color w:val="333333"/>
          <w:sz w:val="24"/>
          <w:szCs w:val="24"/>
          <w:shd w:val="clear" w:color="auto" w:fill="FFFFFF"/>
        </w:rPr>
        <w:t xml:space="preserve"> rad</w:t>
      </w:r>
      <w:r w:rsidR="00B618CB">
        <w:rPr>
          <w:color w:val="333333"/>
          <w:sz w:val="24"/>
          <w:szCs w:val="24"/>
          <w:shd w:val="clear" w:color="auto" w:fill="FFFFFF"/>
        </w:rPr>
        <w:t>ę</w:t>
      </w:r>
      <w:r w:rsidRPr="00A84103">
        <w:rPr>
          <w:color w:val="333333"/>
          <w:sz w:val="24"/>
          <w:szCs w:val="24"/>
          <w:shd w:val="clear" w:color="auto" w:fill="FFFFFF"/>
        </w:rPr>
        <w:t xml:space="preserve"> pielęgniarek i położnych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(art. 44 ust. 1 pkt 22 i 24</w:t>
      </w:r>
      <w:r w:rsidRPr="00A84103">
        <w:rPr>
          <w:color w:val="333333"/>
          <w:sz w:val="24"/>
          <w:szCs w:val="24"/>
          <w:shd w:val="clear" w:color="auto" w:fill="FFFFFF"/>
        </w:rPr>
        <w:t>, art. 48 ust. 2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ustawy o zawodach).Należy przy tym pamiętać, że dane są usuwane z rejestru dopiero po upływie 15 lat od dnia wygaśnięcia prawa wykonywania zawodu tj. od dnia skutecznego złożenia oświadczenia o zrzeczeniu się tego prawa (art. 43 ust. 5 ustawy o zawodach</w:t>
      </w:r>
      <w:r w:rsidRPr="00A84103">
        <w:rPr>
          <w:color w:val="333333"/>
          <w:sz w:val="24"/>
          <w:szCs w:val="24"/>
          <w:shd w:val="clear" w:color="auto" w:fill="FFFFFF"/>
        </w:rPr>
        <w:t>)</w:t>
      </w:r>
      <w:r w:rsidRPr="00A84103">
        <w:rPr>
          <w:rFonts w:cs="Calibri"/>
          <w:color w:val="333333"/>
          <w:sz w:val="24"/>
          <w:szCs w:val="24"/>
          <w:shd w:val="clear" w:color="auto" w:fill="FFFFFF"/>
        </w:rPr>
        <w:t>.</w:t>
      </w:r>
      <w:r w:rsidR="00B101A2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Powyższy obowiązek wynika również z § 8 ust. 1 </w:t>
      </w:r>
      <w:r w:rsidR="00E039DA" w:rsidRPr="00A84103">
        <w:rPr>
          <w:rFonts w:cs="Calibri"/>
          <w:color w:val="333333"/>
          <w:sz w:val="24"/>
          <w:szCs w:val="24"/>
          <w:shd w:val="clear" w:color="auto" w:fill="FFFFFF"/>
        </w:rPr>
        <w:t>uchwały nr</w:t>
      </w:r>
      <w:r w:rsidR="00B101A2" w:rsidRPr="00A84103">
        <w:rPr>
          <w:rFonts w:cs="Calibri"/>
          <w:color w:val="333333"/>
          <w:sz w:val="24"/>
          <w:szCs w:val="24"/>
          <w:shd w:val="clear" w:color="auto" w:fill="FFFFFF"/>
        </w:rPr>
        <w:t xml:space="preserve"> 320/VII/2018 Naczelnej Rady Pielęgniarek i Położnych z dnia 12 września 2018 r. </w:t>
      </w:r>
      <w:r w:rsidR="00F43C4D" w:rsidRPr="00A84103">
        <w:rPr>
          <w:sz w:val="24"/>
          <w:szCs w:val="24"/>
        </w:rPr>
        <w:t>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14:paraId="1BFC94F1" w14:textId="4AF6B019" w:rsidR="005B3028" w:rsidRPr="00A84103" w:rsidRDefault="00F43C4D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color w:val="333333"/>
          <w:sz w:val="24"/>
          <w:szCs w:val="24"/>
          <w:shd w:val="clear" w:color="auto" w:fill="FFFFFF"/>
        </w:rPr>
      </w:pPr>
      <w:r w:rsidRPr="00A84103">
        <w:rPr>
          <w:color w:val="333333"/>
          <w:sz w:val="24"/>
          <w:szCs w:val="24"/>
          <w:shd w:val="clear" w:color="auto" w:fill="FFFFFF"/>
        </w:rPr>
        <w:t>W</w:t>
      </w:r>
      <w:r w:rsidR="005B3028" w:rsidRPr="00A84103">
        <w:rPr>
          <w:color w:val="333333"/>
          <w:sz w:val="24"/>
          <w:szCs w:val="24"/>
          <w:shd w:val="clear" w:color="auto" w:fill="FFFFFF"/>
        </w:rPr>
        <w:t>ygaśnięcie prawa wykonywania zawodu wskutek złożenia oświadczenia o zrzeczeniu się prawa nie s</w:t>
      </w:r>
      <w:bookmarkStart w:id="0" w:name="_GoBack"/>
      <w:bookmarkEnd w:id="0"/>
      <w:r w:rsidR="005B3028" w:rsidRPr="00A84103">
        <w:rPr>
          <w:color w:val="333333"/>
          <w:sz w:val="24"/>
          <w:szCs w:val="24"/>
          <w:shd w:val="clear" w:color="auto" w:fill="FFFFFF"/>
        </w:rPr>
        <w:t xml:space="preserve">toi na przeszkodzie ponownemu ubieganiu się przez zainteresowaną (zainteresowanego) o ponowne uzyskanie prawa wykonywania zawodu. Żaden przepis prawa powszechnie obowiązującego nie </w:t>
      </w:r>
      <w:proofErr w:type="gramStart"/>
      <w:r w:rsidR="005B3028" w:rsidRPr="00A84103">
        <w:rPr>
          <w:color w:val="333333"/>
          <w:sz w:val="24"/>
          <w:szCs w:val="24"/>
          <w:shd w:val="clear" w:color="auto" w:fill="FFFFFF"/>
        </w:rPr>
        <w:t>ogranicza bowiem</w:t>
      </w:r>
      <w:proofErr w:type="gramEnd"/>
      <w:r w:rsidR="005B3028" w:rsidRPr="00A84103">
        <w:rPr>
          <w:color w:val="333333"/>
          <w:sz w:val="24"/>
          <w:szCs w:val="24"/>
          <w:shd w:val="clear" w:color="auto" w:fill="FFFFFF"/>
        </w:rPr>
        <w:t xml:space="preserve"> możliwości ubiegania się o przyznanie prawa wykonywania zawodu pielęgniarki albo położnej osobom, które zrzekły się tego prawa. </w:t>
      </w:r>
      <w:r w:rsidR="00A84103" w:rsidRPr="00A84103">
        <w:rPr>
          <w:color w:val="333333"/>
          <w:sz w:val="24"/>
          <w:szCs w:val="24"/>
          <w:shd w:val="clear" w:color="auto" w:fill="FFFFFF"/>
        </w:rPr>
        <w:t>Przeciwny pogląd byłby nie do pogodzenia z konstytucyjną zasadą wolności wykonywania zawodu określoną w art. 65 ust. 1 Konstytucji.</w:t>
      </w:r>
    </w:p>
    <w:p w14:paraId="43EAAB48" w14:textId="5041D381" w:rsidR="005B3028" w:rsidRPr="00A84103" w:rsidRDefault="005B3028" w:rsidP="00187D0B">
      <w:pPr>
        <w:pStyle w:val="Akapitzlist"/>
        <w:numPr>
          <w:ilvl w:val="0"/>
          <w:numId w:val="33"/>
        </w:numPr>
        <w:ind w:left="357" w:hanging="357"/>
        <w:contextualSpacing w:val="0"/>
        <w:jc w:val="both"/>
        <w:rPr>
          <w:color w:val="333333"/>
          <w:sz w:val="24"/>
          <w:szCs w:val="24"/>
          <w:shd w:val="clear" w:color="auto" w:fill="FFFFFF"/>
        </w:rPr>
      </w:pPr>
      <w:r w:rsidRPr="00A84103">
        <w:rPr>
          <w:color w:val="333333"/>
          <w:sz w:val="24"/>
          <w:szCs w:val="24"/>
          <w:shd w:val="clear" w:color="auto" w:fill="FFFFFF"/>
        </w:rPr>
        <w:t>Z uwagi na brak regulacji szczególnych regulujących tryb ponownego uzyskania prawa wykonywania zawody pielęgniarki należy uznać, że w przypadku u</w:t>
      </w:r>
      <w:r w:rsidR="00E039DA">
        <w:rPr>
          <w:color w:val="333333"/>
          <w:sz w:val="24"/>
          <w:szCs w:val="24"/>
          <w:shd w:val="clear" w:color="auto" w:fill="FFFFFF"/>
        </w:rPr>
        <w:t>biegania się o ponowne uzyskanie</w:t>
      </w:r>
      <w:r w:rsidRPr="00A84103">
        <w:rPr>
          <w:color w:val="333333"/>
          <w:sz w:val="24"/>
          <w:szCs w:val="24"/>
          <w:shd w:val="clear" w:color="auto" w:fill="FFFFFF"/>
        </w:rPr>
        <w:t xml:space="preserve"> prawa wykonywani</w:t>
      </w:r>
      <w:r w:rsidR="00E039DA">
        <w:rPr>
          <w:color w:val="333333"/>
          <w:sz w:val="24"/>
          <w:szCs w:val="24"/>
          <w:shd w:val="clear" w:color="auto" w:fill="FFFFFF"/>
        </w:rPr>
        <w:t>a</w:t>
      </w:r>
      <w:r w:rsidRPr="00A84103">
        <w:rPr>
          <w:color w:val="333333"/>
          <w:sz w:val="24"/>
          <w:szCs w:val="24"/>
          <w:shd w:val="clear" w:color="auto" w:fill="FFFFFF"/>
        </w:rPr>
        <w:t xml:space="preserve"> zawodu zastosowanie znajdują zasady ogólne określone w art. 28 i nast. ustawy o zawodach. Wymagane </w:t>
      </w:r>
      <w:proofErr w:type="gramStart"/>
      <w:r w:rsidRPr="00A84103">
        <w:rPr>
          <w:color w:val="333333"/>
          <w:sz w:val="24"/>
          <w:szCs w:val="24"/>
          <w:shd w:val="clear" w:color="auto" w:fill="FFFFFF"/>
        </w:rPr>
        <w:t>jest zatem</w:t>
      </w:r>
      <w:proofErr w:type="gramEnd"/>
      <w:r w:rsidRPr="00A84103">
        <w:rPr>
          <w:color w:val="333333"/>
          <w:sz w:val="24"/>
          <w:szCs w:val="24"/>
          <w:shd w:val="clear" w:color="auto" w:fill="FFFFFF"/>
        </w:rPr>
        <w:t xml:space="preserve"> przeprowadzenie „nowego” postępowania w przedmiocie przyznania prawa wykonywania zawodu. </w:t>
      </w:r>
      <w:r w:rsidRPr="00A84103">
        <w:rPr>
          <w:color w:val="333333"/>
          <w:sz w:val="24"/>
          <w:szCs w:val="24"/>
          <w:shd w:val="clear" w:color="auto" w:fill="FFFFFF"/>
        </w:rPr>
        <w:lastRenderedPageBreak/>
        <w:t>Podkreślenia przy tym wymaga, że właściwy organ obowiązany jest dokonać ponownej weryfikacji spełnienia przez osobę zainteresowaną przesłanek uzyskania prawa wykonywania zawodu. Ewentualne ustalenia poczynione w postępowaniu „pierwotnym” są nierelewantne z punktu widzenia ponownego wniosku o przyznanie prawa i niedopuszczalne jest ewentualne oparcie się przez organ na ustalaniach z postępowania „pierwotnego”.</w:t>
      </w:r>
    </w:p>
    <w:p w14:paraId="71C7A700" w14:textId="77777777" w:rsidR="005B3028" w:rsidRPr="00A84103" w:rsidRDefault="005B3028" w:rsidP="00187D0B">
      <w:pPr>
        <w:jc w:val="both"/>
        <w:rPr>
          <w:color w:val="333333"/>
          <w:sz w:val="24"/>
          <w:szCs w:val="24"/>
          <w:shd w:val="clear" w:color="auto" w:fill="FFFFFF"/>
        </w:rPr>
      </w:pPr>
    </w:p>
    <w:p w14:paraId="135EAFB3" w14:textId="77777777" w:rsidR="005B3028" w:rsidRPr="00A84103" w:rsidRDefault="005B3028" w:rsidP="00187D0B">
      <w:pPr>
        <w:jc w:val="both"/>
        <w:rPr>
          <w:color w:val="333333"/>
          <w:sz w:val="24"/>
          <w:szCs w:val="24"/>
          <w:shd w:val="clear" w:color="auto" w:fill="FFFFFF"/>
        </w:rPr>
      </w:pPr>
      <w:r w:rsidRPr="00A84103">
        <w:rPr>
          <w:color w:val="333333"/>
          <w:sz w:val="24"/>
          <w:szCs w:val="24"/>
          <w:shd w:val="clear" w:color="auto" w:fill="FFFFFF"/>
        </w:rPr>
        <w:t>Bartłomiej Achler</w:t>
      </w:r>
    </w:p>
    <w:p w14:paraId="7F7A2107" w14:textId="6F3E746C" w:rsidR="00DA0D09" w:rsidRPr="00A84103" w:rsidRDefault="00187D0B" w:rsidP="00187D0B">
      <w:pPr>
        <w:jc w:val="both"/>
        <w:rPr>
          <w:i/>
          <w:iCs/>
          <w:sz w:val="24"/>
          <w:szCs w:val="24"/>
        </w:rPr>
      </w:pPr>
      <w:proofErr w:type="gramStart"/>
      <w:r w:rsidRPr="00A84103">
        <w:rPr>
          <w:i/>
          <w:iCs/>
          <w:color w:val="333333"/>
          <w:sz w:val="24"/>
          <w:szCs w:val="24"/>
          <w:shd w:val="clear" w:color="auto" w:fill="FFFFFF"/>
        </w:rPr>
        <w:t>adwokat</w:t>
      </w:r>
      <w:proofErr w:type="gramEnd"/>
    </w:p>
    <w:sectPr w:rsidR="00DA0D09" w:rsidRPr="00A84103" w:rsidSect="00B70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AF837" w14:textId="77777777" w:rsidR="00A32C44" w:rsidRDefault="00A32C44">
      <w:r>
        <w:separator/>
      </w:r>
    </w:p>
  </w:endnote>
  <w:endnote w:type="continuationSeparator" w:id="0">
    <w:p w14:paraId="5EF8103B" w14:textId="77777777" w:rsidR="00A32C44" w:rsidRDefault="00A3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96606" w14:textId="77777777" w:rsidR="00B23C1C" w:rsidRDefault="00B23C1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9DA">
      <w:rPr>
        <w:noProof/>
      </w:rPr>
      <w:t>2</w:t>
    </w:r>
    <w:r>
      <w:rPr>
        <w:noProof/>
      </w:rPr>
      <w:fldChar w:fldCharType="end"/>
    </w:r>
  </w:p>
  <w:p w14:paraId="34FBAFE6" w14:textId="77777777" w:rsidR="00B23C1C" w:rsidRDefault="00B23C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1E2D" w14:textId="2A9EC254" w:rsidR="00B23C1C" w:rsidRDefault="005B3028" w:rsidP="00AC3D52">
    <w:pPr>
      <w:spacing w:before="0"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9ECC7" wp14:editId="4A1BE14A">
              <wp:simplePos x="0" y="0"/>
              <wp:positionH relativeFrom="column">
                <wp:posOffset>5715</wp:posOffset>
              </wp:positionH>
              <wp:positionV relativeFrom="paragraph">
                <wp:posOffset>97790</wp:posOffset>
              </wp:positionV>
              <wp:extent cx="5760085" cy="0"/>
              <wp:effectExtent l="15240" t="21590" r="15875" b="165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B842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7.7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" strokeweight="2pt"/>
          </w:pict>
        </mc:Fallback>
      </mc:AlternateContent>
    </w:r>
  </w:p>
  <w:p w14:paraId="3FAB7186" w14:textId="77777777" w:rsidR="00B23C1C" w:rsidRPr="00C6601E" w:rsidRDefault="00B23C1C" w:rsidP="00AC3D52">
    <w:pPr>
      <w:spacing w:before="0" w:after="0"/>
      <w:rPr>
        <w:rFonts w:cs="Calibri"/>
        <w:sz w:val="16"/>
        <w:szCs w:val="16"/>
      </w:rPr>
    </w:pPr>
    <w:r w:rsidRPr="00C6601E">
      <w:rPr>
        <w:rFonts w:cs="Calibri"/>
        <w:sz w:val="16"/>
        <w:szCs w:val="16"/>
      </w:rPr>
      <w:t xml:space="preserve">Drab-Grotowska, Juszczyńska, </w:t>
    </w:r>
    <w:proofErr w:type="gramStart"/>
    <w:r w:rsidRPr="00C6601E">
      <w:rPr>
        <w:rFonts w:cs="Calibri"/>
        <w:sz w:val="16"/>
        <w:szCs w:val="16"/>
      </w:rPr>
      <w:t>Achler  Radcowie</w:t>
    </w:r>
    <w:proofErr w:type="gramEnd"/>
    <w:r w:rsidRPr="00C6601E">
      <w:rPr>
        <w:rFonts w:cs="Calibri"/>
        <w:sz w:val="16"/>
        <w:szCs w:val="16"/>
      </w:rPr>
      <w:t xml:space="preserve"> Prawni i Adwokaci Sp. p. </w:t>
    </w:r>
  </w:p>
  <w:p w14:paraId="2F2EFEF7" w14:textId="77777777" w:rsidR="00B23C1C" w:rsidRPr="00C6601E" w:rsidRDefault="00B23C1C" w:rsidP="00AC3D52">
    <w:pPr>
      <w:spacing w:before="0" w:after="0"/>
      <w:rPr>
        <w:rFonts w:cs="Calibri"/>
        <w:sz w:val="16"/>
        <w:szCs w:val="16"/>
      </w:rPr>
    </w:pPr>
    <w:proofErr w:type="gramStart"/>
    <w:r>
      <w:rPr>
        <w:rFonts w:cs="Calibri"/>
        <w:sz w:val="16"/>
        <w:szCs w:val="16"/>
      </w:rPr>
      <w:t>ul</w:t>
    </w:r>
    <w:proofErr w:type="gramEnd"/>
    <w:r>
      <w:rPr>
        <w:rFonts w:cs="Calibri"/>
        <w:sz w:val="16"/>
        <w:szCs w:val="16"/>
      </w:rPr>
      <w:t>. Śniadeckich 17, 00-654 Warszawa</w:t>
    </w:r>
  </w:p>
  <w:p w14:paraId="38F8290A" w14:textId="77777777" w:rsidR="00B23C1C" w:rsidRPr="006E0797" w:rsidRDefault="00B23C1C" w:rsidP="00AC3D52">
    <w:pPr>
      <w:tabs>
        <w:tab w:val="left" w:pos="6331"/>
      </w:tabs>
      <w:spacing w:before="0" w:after="0"/>
      <w:rPr>
        <w:rFonts w:cs="Calibri"/>
        <w:sz w:val="16"/>
        <w:szCs w:val="16"/>
      </w:rPr>
    </w:pPr>
    <w:proofErr w:type="gramStart"/>
    <w:r w:rsidRPr="006E0797">
      <w:rPr>
        <w:rFonts w:cs="Calibri"/>
        <w:sz w:val="16"/>
        <w:szCs w:val="16"/>
      </w:rPr>
      <w:t>tel</w:t>
    </w:r>
    <w:proofErr w:type="gramEnd"/>
    <w:r w:rsidRPr="006E0797">
      <w:rPr>
        <w:rFonts w:cs="Calibri"/>
        <w:sz w:val="16"/>
        <w:szCs w:val="16"/>
      </w:rPr>
      <w:t>. 22 628 33 79; fax.: 22 628 14 55</w:t>
    </w:r>
  </w:p>
  <w:p w14:paraId="234B4046" w14:textId="6A42D0D8" w:rsidR="00B23C1C" w:rsidRPr="007B5090" w:rsidRDefault="00B23C1C" w:rsidP="00AC3D52">
    <w:pPr>
      <w:spacing w:before="0" w:after="0"/>
      <w:rPr>
        <w:rFonts w:cs="Calibri"/>
        <w:sz w:val="16"/>
        <w:szCs w:val="16"/>
        <w:lang w:val="en-US"/>
      </w:rPr>
    </w:pPr>
    <w:r w:rsidRPr="006E0797">
      <w:rPr>
        <w:rFonts w:cs="Calibri"/>
        <w:sz w:val="16"/>
        <w:szCs w:val="16"/>
      </w:rPr>
      <w:t xml:space="preserve"> </w:t>
    </w:r>
    <w:r w:rsidRPr="001C63F5">
      <w:rPr>
        <w:rStyle w:val="Hipercze"/>
        <w:rFonts w:cs="Calibri"/>
        <w:color w:val="auto"/>
        <w:sz w:val="16"/>
        <w:szCs w:val="16"/>
        <w:u w:val="none"/>
        <w:lang w:val="en-US"/>
      </w:rPr>
      <w:t>www.dja-legal.pl</w:t>
    </w:r>
    <w:proofErr w:type="gramStart"/>
    <w:r w:rsidRPr="007B5090">
      <w:rPr>
        <w:rFonts w:cs="Calibri"/>
        <w:sz w:val="16"/>
        <w:szCs w:val="16"/>
        <w:lang w:val="en-US"/>
      </w:rPr>
      <w:t xml:space="preserve">; </w:t>
    </w:r>
    <w:r w:rsidRPr="00C6601E">
      <w:rPr>
        <w:rFonts w:cs="Calibri"/>
        <w:sz w:val="16"/>
        <w:szCs w:val="16"/>
        <w:lang w:val="en-US"/>
      </w:rPr>
      <w:t xml:space="preserve"> e</w:t>
    </w:r>
    <w:proofErr w:type="gramEnd"/>
    <w:r w:rsidRPr="00C6601E">
      <w:rPr>
        <w:rFonts w:cs="Calibri"/>
        <w:sz w:val="16"/>
        <w:szCs w:val="16"/>
        <w:lang w:val="en-US"/>
      </w:rPr>
      <w:t>-mail: sekretariat@d</w:t>
    </w:r>
    <w:r>
      <w:rPr>
        <w:rFonts w:cs="Calibri"/>
        <w:sz w:val="16"/>
        <w:szCs w:val="16"/>
        <w:lang w:val="en-US"/>
      </w:rPr>
      <w:t>j</w:t>
    </w:r>
    <w:r w:rsidRPr="00C6601E">
      <w:rPr>
        <w:rFonts w:cs="Calibri"/>
        <w:sz w:val="16"/>
        <w:szCs w:val="16"/>
        <w:lang w:val="en-US"/>
      </w:rPr>
      <w:t>a-legal.pl</w:t>
    </w:r>
    <w:r w:rsidR="005B302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BD75C5" wp14:editId="499B6A1E">
              <wp:simplePos x="0" y="0"/>
              <wp:positionH relativeFrom="column">
                <wp:posOffset>5754370</wp:posOffset>
              </wp:positionH>
              <wp:positionV relativeFrom="paragraph">
                <wp:posOffset>-39370</wp:posOffset>
              </wp:positionV>
              <wp:extent cx="669290" cy="367030"/>
              <wp:effectExtent l="127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BDA7D" w14:textId="77777777" w:rsidR="00B23C1C" w:rsidRPr="00DC2F40" w:rsidRDefault="00B23C1C" w:rsidP="00AC3D52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DC2F40">
                            <w:rPr>
                              <w:color w:val="FFFFFF"/>
                            </w:rPr>
                            <w:fldChar w:fldCharType="begin"/>
                          </w:r>
                          <w:r w:rsidRPr="00DC2F40">
                            <w:rPr>
                              <w:color w:val="FFFFFF"/>
                            </w:rPr>
                            <w:instrText xml:space="preserve"> PAGE   \* MERGEFORMAT </w:instrText>
                          </w:r>
                          <w:r w:rsidRPr="00DC2F40">
                            <w:rPr>
                              <w:color w:val="FFFFFF"/>
                            </w:rPr>
                            <w:fldChar w:fldCharType="separate"/>
                          </w:r>
                          <w:r w:rsidR="00E039DA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DC2F40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1pt;margin-top:-3.1pt;width:52.7pt;height:2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QwtQIAALg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" filled="f" stroked="f">
              <v:textbox>
                <w:txbxContent>
                  <w:p w14:paraId="1E5BDA7D" w14:textId="77777777" w:rsidR="00B23C1C" w:rsidRPr="00DC2F40" w:rsidRDefault="00B23C1C" w:rsidP="00AC3D52">
                    <w:pPr>
                      <w:jc w:val="center"/>
                      <w:rPr>
                        <w:color w:val="FFFFFF"/>
                      </w:rPr>
                    </w:pPr>
                    <w:r w:rsidRPr="00DC2F40">
                      <w:rPr>
                        <w:color w:val="FFFFFF"/>
                      </w:rPr>
                      <w:fldChar w:fldCharType="begin"/>
                    </w:r>
                    <w:r w:rsidRPr="00DC2F40">
                      <w:rPr>
                        <w:color w:val="FFFFFF"/>
                      </w:rPr>
                      <w:instrText xml:space="preserve"> PAGE   \* MERGEFORMAT </w:instrText>
                    </w:r>
                    <w:r w:rsidRPr="00DC2F40">
                      <w:rPr>
                        <w:color w:val="FFFFFF"/>
                      </w:rPr>
                      <w:fldChar w:fldCharType="separate"/>
                    </w:r>
                    <w:r w:rsidR="00E039DA">
                      <w:rPr>
                        <w:noProof/>
                        <w:color w:val="FFFFFF"/>
                      </w:rPr>
                      <w:t>1</w:t>
                    </w:r>
                    <w:r w:rsidRPr="00DC2F40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8ED7687" w14:textId="77777777" w:rsidR="00B23C1C" w:rsidRPr="007B5090" w:rsidRDefault="00B23C1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B3034" w14:textId="77777777" w:rsidR="00A32C44" w:rsidRDefault="00A32C44">
      <w:r>
        <w:separator/>
      </w:r>
    </w:p>
  </w:footnote>
  <w:footnote w:type="continuationSeparator" w:id="0">
    <w:p w14:paraId="77345F05" w14:textId="77777777" w:rsidR="00A32C44" w:rsidRDefault="00A3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2B3A" w14:textId="77777777" w:rsidR="00B23C1C" w:rsidRDefault="00B23C1C" w:rsidP="00AC3D52">
    <w:pPr>
      <w:pStyle w:val="Nagwek"/>
      <w:tabs>
        <w:tab w:val="clear" w:pos="9072"/>
        <w:tab w:val="left" w:pos="6235"/>
      </w:tabs>
    </w:pPr>
  </w:p>
  <w:p w14:paraId="44D82DE1" w14:textId="77777777" w:rsidR="00B23C1C" w:rsidRDefault="00B23C1C" w:rsidP="00AC3D52">
    <w:pPr>
      <w:spacing w:before="0" w:after="0"/>
      <w:rPr>
        <w:rFonts w:cs="Calibri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B7C0" w14:textId="77777777" w:rsidR="00B23C1C" w:rsidRDefault="00B23C1C">
    <w:pPr>
      <w:pStyle w:val="Nagwek"/>
      <w:rPr>
        <w:noProof/>
        <w:lang w:eastAsia="pl-PL"/>
      </w:rPr>
    </w:pPr>
  </w:p>
  <w:p w14:paraId="7455382F" w14:textId="1A24F263" w:rsidR="00B23C1C" w:rsidRDefault="005B3028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9992F57" wp14:editId="516B3D8C">
          <wp:extent cx="3886200" cy="3619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95199" w14:textId="77777777" w:rsidR="00B23C1C" w:rsidRDefault="00B23C1C">
    <w:pPr>
      <w:pStyle w:val="Nagwek"/>
      <w:rPr>
        <w:noProof/>
        <w:lang w:eastAsia="pl-PL"/>
      </w:rPr>
    </w:pPr>
  </w:p>
  <w:p w14:paraId="719C0B0F" w14:textId="77777777" w:rsidR="00B23C1C" w:rsidRDefault="00B23C1C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B86"/>
    <w:multiLevelType w:val="hybridMultilevel"/>
    <w:tmpl w:val="C9AC7D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92494E"/>
    <w:multiLevelType w:val="hybridMultilevel"/>
    <w:tmpl w:val="8C2AB266"/>
    <w:lvl w:ilvl="0" w:tplc="7564DE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271A4"/>
    <w:multiLevelType w:val="hybridMultilevel"/>
    <w:tmpl w:val="652C9E66"/>
    <w:lvl w:ilvl="0" w:tplc="33E0763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D63E6"/>
    <w:multiLevelType w:val="hybridMultilevel"/>
    <w:tmpl w:val="63AC2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4C0C76"/>
    <w:multiLevelType w:val="multilevel"/>
    <w:tmpl w:val="70D4F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D562700"/>
    <w:multiLevelType w:val="hybridMultilevel"/>
    <w:tmpl w:val="A206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806B7D"/>
    <w:multiLevelType w:val="hybridMultilevel"/>
    <w:tmpl w:val="14DCB20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FA5ABA"/>
    <w:multiLevelType w:val="hybridMultilevel"/>
    <w:tmpl w:val="3752C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C475C"/>
    <w:multiLevelType w:val="hybridMultilevel"/>
    <w:tmpl w:val="1B5CFDF4"/>
    <w:lvl w:ilvl="0" w:tplc="54C6C57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4A05F6"/>
    <w:multiLevelType w:val="hybridMultilevel"/>
    <w:tmpl w:val="9FD65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B7AFE"/>
    <w:multiLevelType w:val="hybridMultilevel"/>
    <w:tmpl w:val="A0A0B7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E33A8E"/>
    <w:multiLevelType w:val="hybridMultilevel"/>
    <w:tmpl w:val="19540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251397"/>
    <w:multiLevelType w:val="hybridMultilevel"/>
    <w:tmpl w:val="61661D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52E6AE4"/>
    <w:multiLevelType w:val="hybridMultilevel"/>
    <w:tmpl w:val="1CA0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80A"/>
    <w:multiLevelType w:val="hybridMultilevel"/>
    <w:tmpl w:val="10F61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BC66B4"/>
    <w:multiLevelType w:val="hybridMultilevel"/>
    <w:tmpl w:val="C046AF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F444B5"/>
    <w:multiLevelType w:val="hybridMultilevel"/>
    <w:tmpl w:val="B4BAC284"/>
    <w:lvl w:ilvl="0" w:tplc="FB1AC6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994F5E"/>
    <w:multiLevelType w:val="hybridMultilevel"/>
    <w:tmpl w:val="EF401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73208"/>
    <w:multiLevelType w:val="hybridMultilevel"/>
    <w:tmpl w:val="AF8C34D0"/>
    <w:lvl w:ilvl="0" w:tplc="60643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35662AF"/>
    <w:multiLevelType w:val="hybridMultilevel"/>
    <w:tmpl w:val="A244A87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A0B2D9B"/>
    <w:multiLevelType w:val="hybridMultilevel"/>
    <w:tmpl w:val="CDDAAC5E"/>
    <w:lvl w:ilvl="0" w:tplc="CFEC1C2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70363C"/>
    <w:multiLevelType w:val="hybridMultilevel"/>
    <w:tmpl w:val="CB703A2E"/>
    <w:lvl w:ilvl="0" w:tplc="D98A3B4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BE780F"/>
    <w:multiLevelType w:val="hybridMultilevel"/>
    <w:tmpl w:val="9FD06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063668"/>
    <w:multiLevelType w:val="hybridMultilevel"/>
    <w:tmpl w:val="7BECAB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DF71D1"/>
    <w:multiLevelType w:val="hybridMultilevel"/>
    <w:tmpl w:val="88DA81BE"/>
    <w:lvl w:ilvl="0" w:tplc="E34C6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52C09"/>
    <w:multiLevelType w:val="hybridMultilevel"/>
    <w:tmpl w:val="46B277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7A29D5"/>
    <w:multiLevelType w:val="hybridMultilevel"/>
    <w:tmpl w:val="0192897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BF276C1"/>
    <w:multiLevelType w:val="hybridMultilevel"/>
    <w:tmpl w:val="3C84D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33960"/>
    <w:multiLevelType w:val="hybridMultilevel"/>
    <w:tmpl w:val="99E2E2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25D2652"/>
    <w:multiLevelType w:val="hybridMultilevel"/>
    <w:tmpl w:val="6C2C35BC"/>
    <w:lvl w:ilvl="0" w:tplc="DEC605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76390"/>
    <w:multiLevelType w:val="hybridMultilevel"/>
    <w:tmpl w:val="BD7E0022"/>
    <w:lvl w:ilvl="0" w:tplc="658065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A7788E"/>
    <w:multiLevelType w:val="hybridMultilevel"/>
    <w:tmpl w:val="6E0C64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F4426EB"/>
    <w:multiLevelType w:val="hybridMultilevel"/>
    <w:tmpl w:val="9020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28"/>
  </w:num>
  <w:num w:numId="5">
    <w:abstractNumId w:val="30"/>
  </w:num>
  <w:num w:numId="6">
    <w:abstractNumId w:val="19"/>
  </w:num>
  <w:num w:numId="7">
    <w:abstractNumId w:val="25"/>
  </w:num>
  <w:num w:numId="8">
    <w:abstractNumId w:val="3"/>
  </w:num>
  <w:num w:numId="9">
    <w:abstractNumId w:val="23"/>
  </w:num>
  <w:num w:numId="10">
    <w:abstractNumId w:val="5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18"/>
  </w:num>
  <w:num w:numId="20">
    <w:abstractNumId w:val="31"/>
  </w:num>
  <w:num w:numId="21">
    <w:abstractNumId w:val="14"/>
  </w:num>
  <w:num w:numId="22">
    <w:abstractNumId w:val="10"/>
  </w:num>
  <w:num w:numId="23">
    <w:abstractNumId w:val="2"/>
  </w:num>
  <w:num w:numId="24">
    <w:abstractNumId w:val="9"/>
  </w:num>
  <w:num w:numId="25">
    <w:abstractNumId w:val="29"/>
  </w:num>
  <w:num w:numId="26">
    <w:abstractNumId w:val="24"/>
  </w:num>
  <w:num w:numId="27">
    <w:abstractNumId w:val="1"/>
  </w:num>
  <w:num w:numId="28">
    <w:abstractNumId w:val="27"/>
  </w:num>
  <w:num w:numId="29">
    <w:abstractNumId w:val="16"/>
  </w:num>
  <w:num w:numId="30">
    <w:abstractNumId w:val="13"/>
  </w:num>
  <w:num w:numId="31">
    <w:abstractNumId w:val="7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06"/>
    <w:rsid w:val="000057BD"/>
    <w:rsid w:val="000431A1"/>
    <w:rsid w:val="00046677"/>
    <w:rsid w:val="000677B0"/>
    <w:rsid w:val="00073D57"/>
    <w:rsid w:val="00074011"/>
    <w:rsid w:val="00083864"/>
    <w:rsid w:val="000932F4"/>
    <w:rsid w:val="000D4A50"/>
    <w:rsid w:val="000F4278"/>
    <w:rsid w:val="000F7601"/>
    <w:rsid w:val="00106DDF"/>
    <w:rsid w:val="0011306E"/>
    <w:rsid w:val="00122454"/>
    <w:rsid w:val="00142F18"/>
    <w:rsid w:val="001459F4"/>
    <w:rsid w:val="001508C3"/>
    <w:rsid w:val="00152136"/>
    <w:rsid w:val="00161E11"/>
    <w:rsid w:val="001642EB"/>
    <w:rsid w:val="0016603A"/>
    <w:rsid w:val="00187718"/>
    <w:rsid w:val="00187D0B"/>
    <w:rsid w:val="00196EA3"/>
    <w:rsid w:val="001A3DCB"/>
    <w:rsid w:val="001C63F5"/>
    <w:rsid w:val="001D1F68"/>
    <w:rsid w:val="001D6FEE"/>
    <w:rsid w:val="001E23D0"/>
    <w:rsid w:val="001F55AF"/>
    <w:rsid w:val="00205A8C"/>
    <w:rsid w:val="0022329C"/>
    <w:rsid w:val="00244AF7"/>
    <w:rsid w:val="00244B51"/>
    <w:rsid w:val="002545C9"/>
    <w:rsid w:val="0025463A"/>
    <w:rsid w:val="002718F6"/>
    <w:rsid w:val="00272A6F"/>
    <w:rsid w:val="00285E9A"/>
    <w:rsid w:val="002A3DD4"/>
    <w:rsid w:val="002A4A5E"/>
    <w:rsid w:val="002B044E"/>
    <w:rsid w:val="002C6A72"/>
    <w:rsid w:val="002D634A"/>
    <w:rsid w:val="002E7A7A"/>
    <w:rsid w:val="002F73B2"/>
    <w:rsid w:val="003041E2"/>
    <w:rsid w:val="00313906"/>
    <w:rsid w:val="0033448C"/>
    <w:rsid w:val="00341A26"/>
    <w:rsid w:val="003456FC"/>
    <w:rsid w:val="003520FB"/>
    <w:rsid w:val="0038702E"/>
    <w:rsid w:val="00396D82"/>
    <w:rsid w:val="003B4B90"/>
    <w:rsid w:val="003B7F1F"/>
    <w:rsid w:val="003C20FB"/>
    <w:rsid w:val="003D4FB7"/>
    <w:rsid w:val="003E091A"/>
    <w:rsid w:val="00404A7C"/>
    <w:rsid w:val="004169A1"/>
    <w:rsid w:val="0042025C"/>
    <w:rsid w:val="0042173F"/>
    <w:rsid w:val="004255BB"/>
    <w:rsid w:val="0043235C"/>
    <w:rsid w:val="0045538A"/>
    <w:rsid w:val="00491DD3"/>
    <w:rsid w:val="004E38C7"/>
    <w:rsid w:val="004F2406"/>
    <w:rsid w:val="004F6A17"/>
    <w:rsid w:val="00501032"/>
    <w:rsid w:val="00514F70"/>
    <w:rsid w:val="0053278D"/>
    <w:rsid w:val="00555C47"/>
    <w:rsid w:val="00557182"/>
    <w:rsid w:val="00587DCF"/>
    <w:rsid w:val="005A587B"/>
    <w:rsid w:val="005B2A8F"/>
    <w:rsid w:val="005B3028"/>
    <w:rsid w:val="005B5844"/>
    <w:rsid w:val="005C47E1"/>
    <w:rsid w:val="005E5104"/>
    <w:rsid w:val="00604857"/>
    <w:rsid w:val="006145B9"/>
    <w:rsid w:val="00614F71"/>
    <w:rsid w:val="00615CF5"/>
    <w:rsid w:val="0063072C"/>
    <w:rsid w:val="00647AA2"/>
    <w:rsid w:val="00652C79"/>
    <w:rsid w:val="006614B7"/>
    <w:rsid w:val="00685311"/>
    <w:rsid w:val="006A029A"/>
    <w:rsid w:val="006E0797"/>
    <w:rsid w:val="00734C25"/>
    <w:rsid w:val="007466A2"/>
    <w:rsid w:val="007469AF"/>
    <w:rsid w:val="00752E98"/>
    <w:rsid w:val="0075632E"/>
    <w:rsid w:val="00771BD9"/>
    <w:rsid w:val="00773D32"/>
    <w:rsid w:val="00775385"/>
    <w:rsid w:val="00797B0C"/>
    <w:rsid w:val="007A1B69"/>
    <w:rsid w:val="007A276B"/>
    <w:rsid w:val="007A7C5B"/>
    <w:rsid w:val="007B5090"/>
    <w:rsid w:val="007D57C9"/>
    <w:rsid w:val="0080268D"/>
    <w:rsid w:val="0080370A"/>
    <w:rsid w:val="00813A1D"/>
    <w:rsid w:val="00816A82"/>
    <w:rsid w:val="008303B0"/>
    <w:rsid w:val="00851416"/>
    <w:rsid w:val="00862A61"/>
    <w:rsid w:val="00884C1E"/>
    <w:rsid w:val="00894E43"/>
    <w:rsid w:val="00895826"/>
    <w:rsid w:val="008B6624"/>
    <w:rsid w:val="008D1757"/>
    <w:rsid w:val="008E5481"/>
    <w:rsid w:val="008F7242"/>
    <w:rsid w:val="009242B1"/>
    <w:rsid w:val="009246FD"/>
    <w:rsid w:val="00942D94"/>
    <w:rsid w:val="009652D9"/>
    <w:rsid w:val="00974A2D"/>
    <w:rsid w:val="00986D98"/>
    <w:rsid w:val="009B36FD"/>
    <w:rsid w:val="009D1AA0"/>
    <w:rsid w:val="009F0842"/>
    <w:rsid w:val="009F5363"/>
    <w:rsid w:val="00A00DA6"/>
    <w:rsid w:val="00A15ABB"/>
    <w:rsid w:val="00A20952"/>
    <w:rsid w:val="00A27F83"/>
    <w:rsid w:val="00A32A0F"/>
    <w:rsid w:val="00A32C44"/>
    <w:rsid w:val="00A55CE0"/>
    <w:rsid w:val="00A611DC"/>
    <w:rsid w:val="00A7011F"/>
    <w:rsid w:val="00A84103"/>
    <w:rsid w:val="00A9721F"/>
    <w:rsid w:val="00A973FF"/>
    <w:rsid w:val="00AB269D"/>
    <w:rsid w:val="00AB31AC"/>
    <w:rsid w:val="00AB469F"/>
    <w:rsid w:val="00AC0AEC"/>
    <w:rsid w:val="00AC10F9"/>
    <w:rsid w:val="00AC3D52"/>
    <w:rsid w:val="00AE0F7C"/>
    <w:rsid w:val="00AE2C48"/>
    <w:rsid w:val="00B101A2"/>
    <w:rsid w:val="00B2101A"/>
    <w:rsid w:val="00B23C1C"/>
    <w:rsid w:val="00B3264E"/>
    <w:rsid w:val="00B56DA6"/>
    <w:rsid w:val="00B570D7"/>
    <w:rsid w:val="00B57BB4"/>
    <w:rsid w:val="00B618CB"/>
    <w:rsid w:val="00B63053"/>
    <w:rsid w:val="00B67B7A"/>
    <w:rsid w:val="00B7081C"/>
    <w:rsid w:val="00BA2FD6"/>
    <w:rsid w:val="00BA66C6"/>
    <w:rsid w:val="00BB06AE"/>
    <w:rsid w:val="00BB7360"/>
    <w:rsid w:val="00BC4FDB"/>
    <w:rsid w:val="00BE2ACC"/>
    <w:rsid w:val="00BF224D"/>
    <w:rsid w:val="00BF25E0"/>
    <w:rsid w:val="00C3253A"/>
    <w:rsid w:val="00C40240"/>
    <w:rsid w:val="00C500B3"/>
    <w:rsid w:val="00C60A49"/>
    <w:rsid w:val="00C6601E"/>
    <w:rsid w:val="00C84B0B"/>
    <w:rsid w:val="00C84BE4"/>
    <w:rsid w:val="00CB4F7E"/>
    <w:rsid w:val="00CD338B"/>
    <w:rsid w:val="00CD7620"/>
    <w:rsid w:val="00CE75E1"/>
    <w:rsid w:val="00CF32AA"/>
    <w:rsid w:val="00D33145"/>
    <w:rsid w:val="00D535EB"/>
    <w:rsid w:val="00D76F34"/>
    <w:rsid w:val="00D947D1"/>
    <w:rsid w:val="00DA0D09"/>
    <w:rsid w:val="00DA7AB8"/>
    <w:rsid w:val="00DC1893"/>
    <w:rsid w:val="00DC2F40"/>
    <w:rsid w:val="00E039DA"/>
    <w:rsid w:val="00E043CA"/>
    <w:rsid w:val="00E27FBF"/>
    <w:rsid w:val="00E40091"/>
    <w:rsid w:val="00E46820"/>
    <w:rsid w:val="00E518D7"/>
    <w:rsid w:val="00E6165E"/>
    <w:rsid w:val="00E773F3"/>
    <w:rsid w:val="00E918EC"/>
    <w:rsid w:val="00EB3BD2"/>
    <w:rsid w:val="00EB5802"/>
    <w:rsid w:val="00ED16E5"/>
    <w:rsid w:val="00EF11EF"/>
    <w:rsid w:val="00F01425"/>
    <w:rsid w:val="00F031AF"/>
    <w:rsid w:val="00F112CE"/>
    <w:rsid w:val="00F174EA"/>
    <w:rsid w:val="00F43C4D"/>
    <w:rsid w:val="00F52A8E"/>
    <w:rsid w:val="00F93236"/>
    <w:rsid w:val="00FB5C97"/>
    <w:rsid w:val="00FB712A"/>
    <w:rsid w:val="00FC236C"/>
    <w:rsid w:val="00FC6C65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DE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906"/>
    <w:pPr>
      <w:spacing w:before="120" w:after="120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C84B0B"/>
    <w:pPr>
      <w:keepNext/>
      <w:spacing w:before="100" w:beforeAutospacing="1" w:after="100" w:afterAutospacing="1"/>
      <w:ind w:left="360"/>
      <w:jc w:val="center"/>
      <w:outlineLvl w:val="2"/>
    </w:pPr>
    <w:rPr>
      <w:rFonts w:ascii="Times New Roman" w:hAnsi="Times New Roman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1390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locked/>
    <w:rsid w:val="00313906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31390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uiPriority w:val="99"/>
    <w:locked/>
    <w:rsid w:val="00313906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31390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3906"/>
    <w:pPr>
      <w:spacing w:before="0" w:after="0" w:line="360" w:lineRule="auto"/>
      <w:jc w:val="both"/>
    </w:pPr>
    <w:rPr>
      <w:rFonts w:ascii="Arial" w:eastAsia="SimSun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313906"/>
    <w:rPr>
      <w:rFonts w:ascii="Arial" w:eastAsia="SimSun" w:hAnsi="Arial" w:cs="Times New Roman"/>
      <w:lang w:val="pl-PL" w:eastAsia="pl-PL" w:bidi="ar-SA"/>
    </w:rPr>
  </w:style>
  <w:style w:type="character" w:styleId="Odwoanieprzypisudolnego">
    <w:name w:val="footnote reference"/>
    <w:semiHidden/>
    <w:rsid w:val="00313906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313906"/>
    <w:pPr>
      <w:widowControl w:val="0"/>
      <w:suppressAutoHyphens/>
      <w:spacing w:before="0" w:after="0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h1blue">
    <w:name w:val="h1_blue"/>
    <w:uiPriority w:val="99"/>
    <w:rsid w:val="00A15AB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15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5962"/>
    <w:rPr>
      <w:sz w:val="0"/>
      <w:szCs w:val="0"/>
      <w:lang w:eastAsia="en-US"/>
    </w:rPr>
  </w:style>
  <w:style w:type="paragraph" w:styleId="Akapitzlist">
    <w:name w:val="List Paragraph"/>
    <w:basedOn w:val="Normalny"/>
    <w:uiPriority w:val="99"/>
    <w:qFormat/>
    <w:rsid w:val="004F24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884C1E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84C1E"/>
    <w:rPr>
      <w:rFonts w:ascii="Calibri" w:hAnsi="Calibri" w:cs="Times New Roman"/>
      <w:lang w:eastAsia="en-US"/>
    </w:rPr>
  </w:style>
  <w:style w:type="character" w:styleId="Odwoanieprzypisukocowego">
    <w:name w:val="endnote reference"/>
    <w:uiPriority w:val="99"/>
    <w:rsid w:val="00884C1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3B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C84B0B"/>
    <w:rPr>
      <w:sz w:val="40"/>
      <w:szCs w:val="24"/>
    </w:rPr>
  </w:style>
  <w:style w:type="character" w:customStyle="1" w:styleId="UnresolvedMention">
    <w:name w:val="Unresolved Mention"/>
    <w:uiPriority w:val="99"/>
    <w:semiHidden/>
    <w:unhideWhenUsed/>
    <w:rsid w:val="001C63F5"/>
    <w:rPr>
      <w:color w:val="605E5C"/>
      <w:shd w:val="clear" w:color="auto" w:fill="E1DFDD"/>
    </w:rPr>
  </w:style>
  <w:style w:type="character" w:customStyle="1" w:styleId="alb">
    <w:name w:val="a_lb"/>
    <w:rsid w:val="00974A2D"/>
  </w:style>
  <w:style w:type="paragraph" w:styleId="Tekstpodstawowy">
    <w:name w:val="Body Text"/>
    <w:basedOn w:val="Normalny"/>
    <w:link w:val="TekstpodstawowyZnak"/>
    <w:semiHidden/>
    <w:unhideWhenUsed/>
    <w:rsid w:val="0042025C"/>
    <w:pPr>
      <w:spacing w:before="0" w:after="0" w:line="360" w:lineRule="auto"/>
      <w:jc w:val="both"/>
    </w:pPr>
    <w:rPr>
      <w:rFonts w:ascii="Arial" w:hAnsi="Arial" w:cs="Arial"/>
      <w:sz w:val="23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42025C"/>
    <w:rPr>
      <w:rFonts w:ascii="Arial" w:hAnsi="Arial" w:cs="Arial"/>
      <w:sz w:val="23"/>
      <w:szCs w:val="24"/>
    </w:rPr>
  </w:style>
  <w:style w:type="character" w:customStyle="1" w:styleId="fontstyle01">
    <w:name w:val="fontstyle01"/>
    <w:rsid w:val="00244AF7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906"/>
    <w:pPr>
      <w:spacing w:before="120" w:after="120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C84B0B"/>
    <w:pPr>
      <w:keepNext/>
      <w:spacing w:before="100" w:beforeAutospacing="1" w:after="100" w:afterAutospacing="1"/>
      <w:ind w:left="360"/>
      <w:jc w:val="center"/>
      <w:outlineLvl w:val="2"/>
    </w:pPr>
    <w:rPr>
      <w:rFonts w:ascii="Times New Roman" w:hAnsi="Times New Roman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1390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locked/>
    <w:rsid w:val="00313906"/>
    <w:rPr>
      <w:rFonts w:ascii="Calibri" w:hAnsi="Calibri" w:cs="Times New Roman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31390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uiPriority w:val="99"/>
    <w:locked/>
    <w:rsid w:val="00313906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31390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3906"/>
    <w:pPr>
      <w:spacing w:before="0" w:after="0" w:line="360" w:lineRule="auto"/>
      <w:jc w:val="both"/>
    </w:pPr>
    <w:rPr>
      <w:rFonts w:ascii="Arial" w:eastAsia="SimSun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313906"/>
    <w:rPr>
      <w:rFonts w:ascii="Arial" w:eastAsia="SimSun" w:hAnsi="Arial" w:cs="Times New Roman"/>
      <w:lang w:val="pl-PL" w:eastAsia="pl-PL" w:bidi="ar-SA"/>
    </w:rPr>
  </w:style>
  <w:style w:type="character" w:styleId="Odwoanieprzypisudolnego">
    <w:name w:val="footnote reference"/>
    <w:semiHidden/>
    <w:rsid w:val="00313906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313906"/>
    <w:pPr>
      <w:widowControl w:val="0"/>
      <w:suppressAutoHyphens/>
      <w:spacing w:before="0" w:after="0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h1blue">
    <w:name w:val="h1_blue"/>
    <w:uiPriority w:val="99"/>
    <w:rsid w:val="00A15AB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15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5962"/>
    <w:rPr>
      <w:sz w:val="0"/>
      <w:szCs w:val="0"/>
      <w:lang w:eastAsia="en-US"/>
    </w:rPr>
  </w:style>
  <w:style w:type="paragraph" w:styleId="Akapitzlist">
    <w:name w:val="List Paragraph"/>
    <w:basedOn w:val="Normalny"/>
    <w:uiPriority w:val="99"/>
    <w:qFormat/>
    <w:rsid w:val="004F24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884C1E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84C1E"/>
    <w:rPr>
      <w:rFonts w:ascii="Calibri" w:hAnsi="Calibri" w:cs="Times New Roman"/>
      <w:lang w:eastAsia="en-US"/>
    </w:rPr>
  </w:style>
  <w:style w:type="character" w:styleId="Odwoanieprzypisukocowego">
    <w:name w:val="endnote reference"/>
    <w:uiPriority w:val="99"/>
    <w:rsid w:val="00884C1E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3B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C84B0B"/>
    <w:rPr>
      <w:sz w:val="40"/>
      <w:szCs w:val="24"/>
    </w:rPr>
  </w:style>
  <w:style w:type="character" w:customStyle="1" w:styleId="UnresolvedMention">
    <w:name w:val="Unresolved Mention"/>
    <w:uiPriority w:val="99"/>
    <w:semiHidden/>
    <w:unhideWhenUsed/>
    <w:rsid w:val="001C63F5"/>
    <w:rPr>
      <w:color w:val="605E5C"/>
      <w:shd w:val="clear" w:color="auto" w:fill="E1DFDD"/>
    </w:rPr>
  </w:style>
  <w:style w:type="character" w:customStyle="1" w:styleId="alb">
    <w:name w:val="a_lb"/>
    <w:rsid w:val="00974A2D"/>
  </w:style>
  <w:style w:type="paragraph" w:styleId="Tekstpodstawowy">
    <w:name w:val="Body Text"/>
    <w:basedOn w:val="Normalny"/>
    <w:link w:val="TekstpodstawowyZnak"/>
    <w:semiHidden/>
    <w:unhideWhenUsed/>
    <w:rsid w:val="0042025C"/>
    <w:pPr>
      <w:spacing w:before="0" w:after="0" w:line="360" w:lineRule="auto"/>
      <w:jc w:val="both"/>
    </w:pPr>
    <w:rPr>
      <w:rFonts w:ascii="Arial" w:hAnsi="Arial" w:cs="Arial"/>
      <w:sz w:val="23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42025C"/>
    <w:rPr>
      <w:rFonts w:ascii="Arial" w:hAnsi="Arial" w:cs="Arial"/>
      <w:sz w:val="23"/>
      <w:szCs w:val="24"/>
    </w:rPr>
  </w:style>
  <w:style w:type="character" w:customStyle="1" w:styleId="fontstyle01">
    <w:name w:val="fontstyle01"/>
    <w:rsid w:val="00244AF7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4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8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0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9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9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CEA6-5973-4043-B2C8-D63449CF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5640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5 marca 2012 r</vt:lpstr>
    </vt:vector>
  </TitlesOfParts>
  <Company>MDG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5 marca 2012 r</dc:title>
  <dc:creator>Bartłomiej Achler</dc:creator>
  <cp:lastModifiedBy>NIPiP Marta Tomczuk</cp:lastModifiedBy>
  <cp:revision>2</cp:revision>
  <cp:lastPrinted>2021-04-07T09:57:00Z</cp:lastPrinted>
  <dcterms:created xsi:type="dcterms:W3CDTF">2021-05-31T09:17:00Z</dcterms:created>
  <dcterms:modified xsi:type="dcterms:W3CDTF">2021-05-31T09:17:00Z</dcterms:modified>
</cp:coreProperties>
</file>