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SARS – CoV-2(COVID-19)</w:t>
        <w:tab/>
        <w:tab/>
        <w:tab/>
        <w:tab/>
        <w:tab/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Warszawa, dn. </w:t>
      </w:r>
      <w:r w:rsidDel="00000000" w:rsidR="00000000" w:rsidRPr="00000000">
        <w:rPr>
          <w:b w:val="1"/>
          <w:sz w:val="22"/>
          <w:szCs w:val="22"/>
          <w:rtl w:val="0"/>
        </w:rPr>
        <w:t xml:space="preserve">20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.03.2020 r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Komunikat dotyczący organizacji kwarantanny dla personelu szpitala, w szczególności 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ff" w:space="0" w:sz="12" w:val="single"/>
              <w:left w:color="0000ff" w:space="0" w:sz="12" w:val="single"/>
              <w:bottom w:color="0000ff" w:space="0" w:sz="12" w:val="single"/>
              <w:right w:color="0000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Dla pielęgniarek, pracowników SOR, którzy mieli kontakt z pacjentem podejrzanym o zakażenie wirusem SARS-CoV-2 i nie byli zabezpieczeni środkami ochrony indywidualnej, w oczekiwaniu na wynik, pracodawca powinien zapewnić pomieszczenia, w których pracownicy mogliby odpocząć po dyżurze i poczekać na wyniki testów. Takie rozwiązanie jest szczególnie ważne dla osób, które obawiają się wrócić do domu, ze względu na obecność małych dzieci  lub osób z grup podwyższonego ryzyka,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z którymi mieszkają (osoby starsze, przewlekle chore).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Pracownicy SOR pracują w szczególnie trudnych warunkach, między innymi ze względu na bardzo ograniczone możliwości izolacji, wymagających tego pacjentów, oraz ilości zgłaszających się chorych z innymi dolegliwościami (zawał, udar, urazy).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Pielęgniarki muszą pamiętać przede wszystkim o  swoim bezpieczeństwie. Jeżeli szpital zatrudnia psychologów, to powinni być oni również zaangażowani do wsparcia personelu “z pierwszej linii frontu”.</w:t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jc w:val="right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dr n.med. Anna Małecka-Dubiela, </w:t>
      </w:r>
      <w:r w:rsidDel="00000000" w:rsidR="00000000" w:rsidRPr="00000000">
        <w:rPr>
          <w:sz w:val="22"/>
          <w:szCs w:val="22"/>
          <w:rtl w:val="0"/>
        </w:rPr>
        <w:t xml:space="preserve">Krajowy Konsultant w Dziedzinie Pielęgniarstwa Ratunkowego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ff" w:space="0" w:sz="12" w:val="single"/>
              <w:left w:color="0000ff" w:space="0" w:sz="12" w:val="single"/>
              <w:bottom w:color="0000ff" w:space="0" w:sz="12" w:val="single"/>
              <w:right w:color="0000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Analogiczna sytuacja dotyczy pracowników wszystkich jednostek i komórek organizacyjnych szpitala, którzy mieli kontakt z pacjentem i wymagają czasowej izolacji, czyli kwarantanny do chwili uzyskania wyników testów pacjenta lub całego personelu, który miał kontakt. Mając na uwadze dobro pracowników, ale również bezpieczeństwo członków ich rodzin, a także wszystkich osób poza szpitalem (komunikacja publiczna), pracodawca powinien zorganizować na terenie szpitala bezpieczne i odizolowane pomieszczenia, które spełniają warunki czasowej kwarantanny do chwili wyjaśnienia sytuacji zagrożenia epidemicznego. Zrozumiałym jest, że na czas kwarantanny pracodawca zapewnia podstawowe warunki sanitarno-epidemiologiczne oraz niezbędne wyżywienie 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i warunki do odpoczynku. Jeśli pracodawca nie ma w swoich zasobach infrastruktury wolnych pomieszczeń, powinien w realizacji tego zadania współpracować z wojewodą lub innymi służbami publicznymi odpowiedzialnymi za działania przeciwepidemiczne. Działania takie powinny być podjęte z wyprzedzeniem przez wszystkich dyrektorów placówek leczniczych, ponieważ w sytuacji powstania faktycznego zagrożenia nie ma czasu na organizację wyodrębnionej bazy do kwarantanny.</w:t>
            </w:r>
          </w:p>
        </w:tc>
      </w:tr>
    </w:tbl>
    <w:p w:rsidR="00000000" w:rsidDel="00000000" w:rsidP="00000000" w:rsidRDefault="00000000" w:rsidRPr="00000000" w14:paraId="0000000C">
      <w:pPr>
        <w:spacing w:line="276" w:lineRule="auto"/>
        <w:jc w:val="right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dr n. o zdr. Grażyna Wójcik, Prezes Polskiego Towarzystwa Pielęgniarskiego</w:t>
      </w:r>
    </w:p>
    <w:p w:rsidR="00000000" w:rsidDel="00000000" w:rsidP="00000000" w:rsidRDefault="00000000" w:rsidRPr="00000000" w14:paraId="0000000D">
      <w:pPr>
        <w:spacing w:line="276" w:lineRule="auto"/>
        <w:jc w:val="left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709" w:top="2408" w:left="1417" w:right="1417" w:header="284" w:footer="2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hd w:fill="ffffff" w:val="clear"/>
      <w:spacing w:line="276" w:lineRule="auto"/>
      <w:jc w:val="center"/>
      <w:rPr>
        <w:rFonts w:ascii="Times New Roman" w:cs="Times New Roman" w:eastAsia="Times New Roman" w:hAnsi="Times New Roman"/>
        <w:color w:val="222222"/>
        <w:sz w:val="24"/>
        <w:szCs w:val="24"/>
        <w:highlight w:val="white"/>
      </w:rPr>
    </w:pPr>
    <w:r w:rsidDel="00000000" w:rsidR="00000000" w:rsidRPr="00000000">
      <w:rPr>
        <w:rFonts w:ascii="Roboto" w:cs="Roboto" w:eastAsia="Roboto" w:hAnsi="Roboto"/>
        <w:color w:val="222222"/>
        <w:sz w:val="18"/>
        <w:szCs w:val="18"/>
        <w:highlight w:val="white"/>
        <w:rtl w:val="0"/>
      </w:rPr>
      <w:t xml:space="preserve">tel.:‌  ‌+48‌  ‌22 398‌ ‌18‌ ‌72‌ ‌‌</w:t>
    </w:r>
    <w:hyperlink r:id="rId1">
      <w:r w:rsidDel="00000000" w:rsidR="00000000" w:rsidRPr="00000000">
        <w:rPr>
          <w:rFonts w:ascii="Roboto" w:cs="Roboto" w:eastAsia="Roboto" w:hAnsi="Roboto"/>
          <w:color w:val="0000ff"/>
          <w:highlight w:val="white"/>
          <w:rtl w:val="0"/>
        </w:rPr>
        <w:t xml:space="preserve">www.ptp.na1.pl‌‌</w:t>
      </w:r>
    </w:hyperlink>
    <w:r w:rsidDel="00000000" w:rsidR="00000000" w:rsidRPr="00000000">
      <w:rPr>
        <w:rFonts w:ascii="Roboto" w:cs="Roboto" w:eastAsia="Roboto" w:hAnsi="Roboto"/>
        <w:color w:val="222222"/>
        <w:highlight w:val="white"/>
        <w:rtl w:val="0"/>
      </w:rPr>
      <w:t xml:space="preserve">    ‌e-mail:‌ ‌‌</w:t>
    </w:r>
    <w:r w:rsidDel="00000000" w:rsidR="00000000" w:rsidRPr="00000000">
      <w:rPr>
        <w:rFonts w:ascii="Roboto" w:cs="Roboto" w:eastAsia="Roboto" w:hAnsi="Roboto"/>
        <w:color w:val="0000ff"/>
        <w:highlight w:val="white"/>
        <w:rtl w:val="0"/>
      </w:rPr>
      <w:t xml:space="preserve">biuroptp‌@gmail.com‌</w:t>
    </w:r>
    <w:r w:rsidDel="00000000" w:rsidR="00000000" w:rsidRPr="00000000">
      <w:rPr>
        <w:rFonts w:ascii="Roboto" w:cs="Roboto" w:eastAsia="Roboto" w:hAnsi="Roboto"/>
        <w:color w:val="222222"/>
        <w:highlight w:val="white"/>
        <w:rtl w:val="0"/>
      </w:rPr>
      <w:t xml:space="preserve"> ‌</w:t>
    </w:r>
    <w:r w:rsidDel="00000000" w:rsidR="00000000" w:rsidRPr="00000000">
      <w:rPr>
        <w:rFonts w:ascii="Times New Roman" w:cs="Times New Roman" w:eastAsia="Times New Roman" w:hAnsi="Times New Roman"/>
        <w:color w:val="222222"/>
        <w:sz w:val="24"/>
        <w:szCs w:val="24"/>
        <w:highlight w:val="white"/>
        <w:rtl w:val="0"/>
      </w:rPr>
      <w:t xml:space="preserve"> ‌</w:t>
    </w:r>
  </w:p>
  <w:p w:rsidR="00000000" w:rsidDel="00000000" w:rsidP="00000000" w:rsidRDefault="00000000" w:rsidRPr="00000000" w14:paraId="00000014">
    <w:pPr>
      <w:shd w:fill="ffffff" w:val="clear"/>
      <w:spacing w:line="276" w:lineRule="auto"/>
      <w:jc w:val="center"/>
      <w:rPr>
        <w:rFonts w:ascii="Roboto" w:cs="Roboto" w:eastAsia="Roboto" w:hAnsi="Roboto"/>
        <w:color w:val="222222"/>
        <w:highlight w:val="white"/>
      </w:rPr>
    </w:pPr>
    <w:r w:rsidDel="00000000" w:rsidR="00000000" w:rsidRPr="00000000">
      <w:rPr>
        <w:rFonts w:ascii="Roboto" w:cs="Roboto" w:eastAsia="Roboto" w:hAnsi="Roboto"/>
        <w:color w:val="222222"/>
        <w:highlight w:val="white"/>
        <w:rtl w:val="0"/>
      </w:rPr>
      <w:t xml:space="preserve">konto:‌ ‌PKO‌ ‌BP‌ ‌S.A.‌ ‌VII‌ ‌O/Warszawa,‌ ‌11‌ ‌1020‌ ‌1156‌ ‌00007202‌ ‌0050‌ ‌1601;‌ ‌REGON‌ ‌001267113;‌ ‌</w:t>
    </w:r>
  </w:p>
  <w:p w:rsidR="00000000" w:rsidDel="00000000" w:rsidP="00000000" w:rsidRDefault="00000000" w:rsidRPr="00000000" w14:paraId="00000015">
    <w:pPr>
      <w:shd w:fill="ffffff" w:val="clear"/>
      <w:spacing w:line="276" w:lineRule="auto"/>
      <w:jc w:val="center"/>
      <w:rPr/>
    </w:pPr>
    <w:r w:rsidDel="00000000" w:rsidR="00000000" w:rsidRPr="00000000">
      <w:rPr>
        <w:rFonts w:ascii="Roboto" w:cs="Roboto" w:eastAsia="Roboto" w:hAnsi="Roboto"/>
        <w:b w:val="1"/>
        <w:color w:val="222222"/>
        <w:highlight w:val="white"/>
        <w:rtl w:val="0"/>
      </w:rPr>
      <w:t xml:space="preserve">OPP‌   ‌1%‌   ‌KRS‌    ‌0000065610‌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0" w:lineRule="auto"/>
      <w:jc w:val="center"/>
      <w:rPr>
        <w:rFonts w:ascii="Cambria" w:cs="Cambria" w:eastAsia="Cambria" w:hAnsi="Cambria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0" w:lineRule="auto"/>
      <w:jc w:val="center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0" w:lineRule="auto"/>
      <w:jc w:val="center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386080</wp:posOffset>
          </wp:positionH>
          <wp:positionV relativeFrom="paragraph">
            <wp:posOffset>0</wp:posOffset>
          </wp:positionV>
          <wp:extent cx="4905375" cy="106997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5375" cy="1069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80" w:firstLine="1080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80" w:firstLine="1080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1134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tp.na1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Pn+176/JEjP1M8IVyMU7eYvWA==">AMUW2mWBjqKU7rmofXtzVhgA8tCmajzaZM4KG62dCcuT7sT7MIfFgM9sv4iZygXlKFcOpoVIm6ubohEAqKxbZvmnO+5mwqMT7jkbCM4oWJJUjYaNomAb6oU=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